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jc w:val="left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 о мотивации персонала Государственного агентства по делам молодежи, физической культуры и спорта при Правительстве Кыргызской Республики</w:t>
      </w:r>
    </w:p>
    <w:p>
      <w:pPr>
        <w:pStyle w:val="1"/>
        <w:jc w:val="center"/>
        <w:rPr>
          <w:rFonts w:cs="Times New Roman" w:ascii="Times New Roman" w:hAnsi="Times New Roman"/>
          <w:color w:val="00000A"/>
        </w:rPr>
      </w:pPr>
      <w:bookmarkStart w:id="0" w:name="_Toc474157249"/>
      <w:bookmarkStart w:id="1" w:name="_Toc474157474"/>
      <w:bookmarkEnd w:id="0"/>
      <w:bookmarkEnd w:id="1"/>
      <w:r>
        <w:rPr>
          <w:rFonts w:cs="Times New Roman" w:ascii="Times New Roman" w:hAnsi="Times New Roman"/>
          <w:color w:val="00000A"/>
        </w:rPr>
        <w:t>1. Общие положения</w:t>
      </w:r>
    </w:p>
    <w:p>
      <w:pPr>
        <w:pStyle w:val="Default"/>
        <w:ind w:left="0" w:right="0" w:firstLine="708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о мотивации государственных служащих в Государственном агентстве по делам молодежи, физической культуры и спорта при Правительстве Кыргызской Республики (далее Госагентство) закрепляет основные принципы и правила поощрения и стимулирования сотрудников Госагентства за особые успехи и за своевременное, качественное и  добросовестное выполнение своих обязанностей. Госагентство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создает определенные корпоративные условия, которые будут побуждать персонал Госагентства быть приверженцами корпоративных ценностей и разделять их, Госагентство строит надежный фундамент долгосрочного сотрудничества с персоналом.</w:t>
      </w:r>
    </w:p>
    <w:p>
      <w:pPr>
        <w:pStyle w:val="Default"/>
        <w:ind w:left="0" w:right="0" w:firstLine="708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1.2. Основными направлениями деятельности Госагентства в сфере мотивации является индивидуальный подход к каждому сотруднику, формирование высокопрофессиональной команды для качественной и эффективной реализации государственной политики в сфере молодежи, физической культуры и спорта. Высокий профессионализм, честность и добросовестность сотрудников является главным направлением Госагентства в сфере претворения своей политики. Основным направлением  мотивации персонала является укрепление командного и корпоративного единства, а также поддержки каждого сотрудника, взаимопомощь и выручка. </w:t>
      </w:r>
    </w:p>
    <w:p>
      <w:pPr>
        <w:pStyle w:val="Default"/>
        <w:ind w:left="0" w:right="0" w:firstLine="708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1.3. Для достижения высоких результатов необходимы высокие моральные качества и личный вклад каждого сотрудника в общее дело. Каждый сотрудник должен понимать и нести ответственность за свой внешний вид, поведение и за свои дела, так как каждый сотрудник является представителем Госагентства.</w:t>
      </w:r>
    </w:p>
    <w:p>
      <w:pPr>
        <w:pStyle w:val="1"/>
        <w:ind w:left="0" w:right="0" w:firstLine="709"/>
        <w:jc w:val="center"/>
        <w:rPr>
          <w:rFonts w:cs="Times New Roman" w:ascii="Times New Roman" w:hAnsi="Times New Roman"/>
          <w:color w:val="00000A"/>
        </w:rPr>
      </w:pPr>
      <w:bookmarkStart w:id="2" w:name="_Toc474157250"/>
      <w:bookmarkStart w:id="3" w:name="_Toc474157475"/>
      <w:bookmarkEnd w:id="2"/>
      <w:bookmarkEnd w:id="3"/>
      <w:r>
        <w:rPr>
          <w:rFonts w:cs="Times New Roman" w:ascii="Times New Roman" w:hAnsi="Times New Roman"/>
          <w:color w:val="00000A"/>
        </w:rPr>
        <w:t>2. Цели создания системы мотивации в Госагентстве</w:t>
      </w:r>
    </w:p>
    <w:p>
      <w:pPr>
        <w:pStyle w:val="Default"/>
        <w:ind w:left="0" w:right="0" w:firstLine="709"/>
        <w:jc w:val="both"/>
        <w:rPr>
          <w:rFonts w:cs="Times New Roman" w:ascii="Times New Roman" w:hAnsi="Times New Roman"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  <w:t xml:space="preserve">2.1. Система мотивации персонала в Госагентстве строится на материальных и нематериальных методах поощрения сотрудников за достигнутые результаты.  </w:t>
      </w:r>
    </w:p>
    <w:p>
      <w:pPr>
        <w:pStyle w:val="Defaul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  <w:t xml:space="preserve">2.2. В Госагентстве система материального поощрения установлена в соответствии с Законом </w:t>
      </w:r>
      <w:r>
        <w:rPr>
          <w:rFonts w:cs="Times New Roman" w:ascii="Times New Roman" w:hAnsi="Times New Roman"/>
          <w:sz w:val="28"/>
          <w:szCs w:val="28"/>
        </w:rPr>
        <w:t>Кыргызской Республики</w:t>
      </w:r>
      <w:r>
        <w:rPr>
          <w:rFonts w:cs="Times New Roman" w:ascii="Times New Roman" w:hAnsi="Times New Roman"/>
          <w:bCs/>
          <w:color w:val="00000A"/>
          <w:sz w:val="28"/>
          <w:szCs w:val="28"/>
        </w:rPr>
        <w:t xml:space="preserve"> «О государственной гражданской</w:t>
      </w:r>
      <w:r>
        <w:rPr>
          <w:rFonts w:cs="Times New Roman" w:ascii="Times New Roman" w:hAnsi="Times New Roman"/>
          <w:bCs/>
          <w:color w:val="00000A"/>
          <w:sz w:val="28"/>
          <w:szCs w:val="28"/>
          <w:lang w:val="ky-KG"/>
        </w:rPr>
        <w:t xml:space="preserve"> службе</w:t>
      </w:r>
      <w:r>
        <w:rPr>
          <w:rFonts w:cs="Times New Roman" w:ascii="Times New Roman" w:hAnsi="Times New Roman"/>
          <w:bCs/>
          <w:color w:val="00000A"/>
          <w:sz w:val="28"/>
          <w:szCs w:val="28"/>
        </w:rPr>
        <w:t xml:space="preserve"> и муниципальной службе»,</w:t>
      </w:r>
      <w:r>
        <w:rPr>
          <w:rFonts w:cs="Times New Roman" w:ascii="Times New Roman" w:hAnsi="Times New Roman"/>
          <w:sz w:val="28"/>
          <w:szCs w:val="28"/>
        </w:rPr>
        <w:t xml:space="preserve"> постановлением Правительства  Кыргызской Республики «Об оценке деятельности и условиях оплаты труда государственных гражданских служащих и муниципальных служащих Кыргызской Республики» от 1 марта 2017 года №131</w:t>
      </w:r>
      <w:r>
        <w:rPr>
          <w:rFonts w:cs="Times New Roman" w:ascii="Times New Roman" w:hAnsi="Times New Roman"/>
          <w:bCs/>
          <w:color w:val="00000A"/>
          <w:sz w:val="28"/>
          <w:szCs w:val="28"/>
        </w:rPr>
        <w:t xml:space="preserve">, Трудовым кодексом  </w:t>
      </w:r>
      <w:r>
        <w:rPr>
          <w:rFonts w:cs="Times New Roman" w:ascii="Times New Roman" w:hAnsi="Times New Roman"/>
          <w:sz w:val="28"/>
          <w:szCs w:val="28"/>
        </w:rPr>
        <w:t>Кыргызской.</w:t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701" w:right="1133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Default"/>
        <w:ind w:left="0" w:right="0" w:firstLine="709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2.3. Система мотивации  персонала разработана для достижения следующих целей: </w:t>
      </w:r>
    </w:p>
    <w:p>
      <w:pPr>
        <w:pStyle w:val="Default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 xml:space="preserve">Достижение стратегических целей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Госагентства через поощрение деятельности сотрудников с помощью разнообразных привлекательных для сотрудников стимулов; </w:t>
      </w:r>
    </w:p>
    <w:p>
      <w:pPr>
        <w:pStyle w:val="Default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 xml:space="preserve">Эффективное и качественное претворение государственной политики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через стимулирование эффективного труда сотрудников Госагентства, применяя систему льгот, поощрений и социальных гарантий в соответствии с их потребностями; </w:t>
      </w:r>
    </w:p>
    <w:p>
      <w:pPr>
        <w:pStyle w:val="Default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 xml:space="preserve">Формирование представления привлекательного государственного органа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через дружный коллектив, справедливое отношение к сотруднику и оказание поддержки. Применение максимального набора нематериальных благ, приносящих сотрудникам удовлетворенность трудом и стимулирующих на высокое качество исполнения предписанных должностных обязанностей;  </w:t>
      </w:r>
    </w:p>
    <w:p>
      <w:pPr>
        <w:pStyle w:val="Default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color w:val="00000A"/>
          <w:sz w:val="28"/>
          <w:szCs w:val="28"/>
        </w:rPr>
        <w:t>Поддержка и повышение делового имиджа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каждого сотрудника как профессионала и освещение через СМИ достигнутых им высоких результатов.</w:t>
      </w:r>
    </w:p>
    <w:p>
      <w:pPr>
        <w:pStyle w:val="1"/>
        <w:ind w:left="0" w:right="0" w:firstLine="709"/>
        <w:jc w:val="both"/>
        <w:rPr>
          <w:rFonts w:cs="Times New Roman" w:ascii="Times New Roman" w:hAnsi="Times New Roman"/>
          <w:color w:val="00000A"/>
        </w:rPr>
      </w:pPr>
      <w:bookmarkStart w:id="4" w:name="_Toc474157251"/>
      <w:bookmarkStart w:id="5" w:name="_Toc474157476"/>
      <w:bookmarkEnd w:id="4"/>
      <w:bookmarkEnd w:id="5"/>
      <w:r>
        <w:rPr>
          <w:rFonts w:cs="Times New Roman" w:ascii="Times New Roman" w:hAnsi="Times New Roman"/>
          <w:color w:val="00000A"/>
        </w:rPr>
        <w:t>3. Система нематериального поощрения сотрудников Госагентства</w:t>
      </w:r>
    </w:p>
    <w:p>
      <w:pPr>
        <w:pStyle w:val="Defaul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Госагентство</w:t>
      </w:r>
      <w:r>
        <w:rPr>
          <w:rFonts w:cs="Times New Roman" w:ascii="Times New Roman" w:hAnsi="Times New Roman"/>
          <w:sz w:val="28"/>
          <w:szCs w:val="28"/>
          <w:lang w:val="ky-KG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понимая важность привития, таких нематериальных ценностей как долг, честь, достоинство, профессионализм</w:t>
      </w:r>
      <w:r>
        <w:rPr>
          <w:rFonts w:cs="Times New Roman" w:ascii="Times New Roman" w:hAnsi="Times New Roman"/>
          <w:sz w:val="28"/>
          <w:szCs w:val="28"/>
          <w:lang w:val="ky-KG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справедливость каждому своему сотруднику</w:t>
      </w:r>
      <w:r>
        <w:rPr>
          <w:rFonts w:cs="Times New Roman" w:ascii="Times New Roman" w:hAnsi="Times New Roman"/>
          <w:sz w:val="28"/>
          <w:szCs w:val="28"/>
          <w:lang w:val="ky-KG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считает правильным, формирование и поддержание имиджа Госагентства</w:t>
      </w:r>
      <w:r>
        <w:rPr>
          <w:rFonts w:cs="Times New Roman" w:ascii="Times New Roman" w:hAnsi="Times New Roman"/>
          <w:sz w:val="28"/>
          <w:szCs w:val="28"/>
          <w:lang w:val="ky-KG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как одного из лучших государственных органов через систему нематериальных ценностей. </w:t>
      </w:r>
    </w:p>
    <w:p>
      <w:pPr>
        <w:pStyle w:val="Default"/>
        <w:ind w:left="0" w:right="0" w:firstLine="709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Госагентство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формирует пакет нематериальной мотивации из следующих видов нематериальных стимулов: 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 xml:space="preserve">Поощрения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– публичное признание результатов труда работников в виде благодарности, присвоения звания «Отличник физической культуры и спорта»; 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 xml:space="preserve">Награждения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– выдача статусных знаков отличия, Почетных грамот, дипломов; 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 xml:space="preserve">Изменение статуса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сотрудника. Выражается в повышении по службе, ротации или другой желаемой для сотрудника смены должности либо деятельности. Дача рекомендательных писем, характеристик и отзывов сотрудникам и направление к участию в конкурсах на вышестоящие должности в другие государственные органы; 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>Обучение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– стажировка, семинары, тренинги, предоставляемые сотруднику для повышения его профессионализма; 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color w:val="00000A"/>
          <w:sz w:val="28"/>
          <w:szCs w:val="28"/>
        </w:rPr>
        <w:t>Предоставление права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пользования услугами оздоровительных учреждений (санатории и курорты); 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 xml:space="preserve">Организация корпоративного досуга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– выездные и иные мероприятия, конкурсы с участием ближайших родственников, выставки и конкурсы для детей сотрудников; 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>Организация рабочего места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– предоставление более современной организационной техники, доступа к интернету и др.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color w:val="00000A"/>
          <w:sz w:val="28"/>
          <w:szCs w:val="28"/>
        </w:rPr>
        <w:t>Поддержка и оказание помощи при решении жилищных проблем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Выражается в виде направления просьб, ходатайств в соответствующие уполномоченные органы для получения квартир по государственным программам ипотечного кредитования в интересах сотрудников. 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color w:val="00000A"/>
          <w:sz w:val="28"/>
          <w:szCs w:val="28"/>
        </w:rPr>
        <w:t>Оказание помощи при устройстве детей в детские сады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и в школы путем направления писем, ходатайств и просьб в соответствующие учреждения.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color w:val="00000A"/>
          <w:sz w:val="28"/>
          <w:szCs w:val="28"/>
        </w:rPr>
        <w:t>Выдача абонентских билетов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– направление своих сотрудников и его членов семьи в спортивные секции для поддержания здорового образа жизни своих сотрудников. 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color w:val="00000A"/>
          <w:sz w:val="28"/>
          <w:szCs w:val="28"/>
        </w:rPr>
        <w:t xml:space="preserve">Представление к государственным наградам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– подготовка и направление документов в вышестоящие государственные органы для награждения государственными наградами. 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color w:val="00000A"/>
          <w:sz w:val="28"/>
          <w:szCs w:val="28"/>
        </w:rPr>
        <w:t xml:space="preserve">Зарубежные командировки – </w:t>
      </w:r>
      <w:r>
        <w:rPr>
          <w:rFonts w:cs="Times New Roman" w:ascii="Times New Roman" w:hAnsi="Times New Roman"/>
          <w:color w:val="00000A"/>
          <w:sz w:val="28"/>
          <w:szCs w:val="28"/>
        </w:rPr>
        <w:t>направление сотрудника в составе спортивных делегаций в зарубежные командировки.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/>
          <w:color w:val="00000A"/>
          <w:sz w:val="28"/>
          <w:szCs w:val="28"/>
        </w:rPr>
        <w:t xml:space="preserve">Выдача спортивной экипировки </w:t>
      </w:r>
      <w:r>
        <w:rPr>
          <w:rFonts w:cs="Times New Roman" w:ascii="Times New Roman" w:hAnsi="Times New Roman"/>
          <w:color w:val="00000A"/>
          <w:sz w:val="28"/>
          <w:szCs w:val="28"/>
        </w:rPr>
        <w:t>для участия в спортивных мероприятиях.</w:t>
      </w:r>
    </w:p>
    <w:p>
      <w:pPr>
        <w:pStyle w:val="1"/>
        <w:ind w:left="0" w:right="0" w:firstLine="709"/>
        <w:jc w:val="center"/>
        <w:rPr>
          <w:rFonts w:cs="Times New Roman" w:ascii="Times New Roman" w:hAnsi="Times New Roman"/>
          <w:color w:val="00000A"/>
        </w:rPr>
      </w:pPr>
      <w:bookmarkStart w:id="6" w:name="_Toc474157252"/>
      <w:bookmarkStart w:id="7" w:name="_Toc474157477"/>
      <w:bookmarkEnd w:id="6"/>
      <w:bookmarkEnd w:id="7"/>
      <w:r>
        <w:rPr>
          <w:rFonts w:cs="Times New Roman" w:ascii="Times New Roman" w:hAnsi="Times New Roman"/>
          <w:color w:val="00000A"/>
        </w:rPr>
        <w:t>4. Мероприятия по мотивации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В целях признания достижений сотрудников, повышения качества внутренних коммуникаций и улучшения внутренней культуры Госагентства, приводящей к высокой лояльности сотрудников и выражающейся в качественном труде, Госагентство проводит периодические, ежегодные корпоративные мероприятия, направленные на мотивирование сотрудников через: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награждение сотрудников, достигших высоких результатов профессиональной деятельности;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представление сотрудников, достигших выдающихся результатов профессиональной деятельности на награждение государственными наградами.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Для объединения интересов сотрудников  Госагентства, выражения благодарности сотрудникам за их труд, Госагентство проводит: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мероприятия в честь ежегодных государственных праздников (Новый Год, День защитника отечества, Международный женский день, День победы, День независимости), а также ко Дню работников государственной и муниципальной службы</w:t>
      </w:r>
      <w:r>
        <w:rPr>
          <w:rFonts w:cs="Times New Roman" w:ascii="Times New Roman" w:hAnsi="Times New Roman"/>
          <w:sz w:val="28"/>
          <w:szCs w:val="28"/>
          <w:lang w:val="ky-KG"/>
        </w:rPr>
        <w:t>, Дню работников физической культуры и спорта, Дню молодежи</w:t>
      </w:r>
      <w:r>
        <w:rPr>
          <w:rFonts w:cs="Times New Roman" w:ascii="Times New Roman" w:hAnsi="Times New Roman"/>
          <w:sz w:val="28"/>
          <w:szCs w:val="28"/>
        </w:rPr>
        <w:t xml:space="preserve"> и т.д.;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мероприятия для чествования сотрудников (церемония поздравления с днем рождения, с получением наград и др.);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мероприятия для развлечения и объединения интересов сотрудников (выездные мероприятия, спортивные и профессиональные конкурсы);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мероприятия с участием членов семьи (конкурс рисунка для детей сотрудников и другие).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Отдел правовой экспертизы и управления персоналом разрабатывает программы мероприятий по нематериальной мотивации сотрудников Госагентства и оформляет план их проведения, основанный на данном положении о мотивации сотрудников Госагентства, утвержденных </w:t>
      </w:r>
      <w:r>
        <w:rPr>
          <w:rFonts w:cs="Times New Roman" w:ascii="Times New Roman" w:hAnsi="Times New Roman"/>
          <w:sz w:val="28"/>
          <w:szCs w:val="28"/>
          <w:lang w:val="ky-KG"/>
        </w:rPr>
        <w:t>с</w:t>
      </w:r>
      <w:r>
        <w:rPr>
          <w:rFonts w:cs="Times New Roman" w:ascii="Times New Roman" w:hAnsi="Times New Roman"/>
          <w:sz w:val="28"/>
          <w:szCs w:val="28"/>
        </w:rPr>
        <w:t>татс-секретарем</w:t>
      </w:r>
      <w:r>
        <w:rPr>
          <w:rFonts w:cs="Times New Roman" w:ascii="Times New Roman" w:hAnsi="Times New Roman"/>
          <w:sz w:val="28"/>
          <w:szCs w:val="28"/>
          <w:lang w:val="ky-KG"/>
        </w:rPr>
        <w:t xml:space="preserve"> Госагентства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Defaul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ind w:left="0" w:right="0" w:firstLine="709"/>
        <w:jc w:val="center"/>
        <w:rPr>
          <w:rFonts w:cs="Times New Roman" w:ascii="Times New Roman" w:hAnsi="Times New Roman"/>
          <w:color w:val="00000A"/>
        </w:rPr>
      </w:pPr>
      <w:bookmarkStart w:id="8" w:name="_Toc474157253"/>
      <w:bookmarkStart w:id="9" w:name="_Toc474157478"/>
      <w:bookmarkEnd w:id="8"/>
      <w:bookmarkEnd w:id="9"/>
      <w:r>
        <w:rPr>
          <w:rFonts w:cs="Times New Roman" w:ascii="Times New Roman" w:hAnsi="Times New Roman"/>
          <w:color w:val="00000A"/>
        </w:rPr>
        <w:t>5. Применение норм настоящего положения о мотивации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Госагентство вправе одновременно применять к работнику несколько мер поощрения при наличии для этого оснований.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 Меры поощрения не применяются к работникам, совершившим в оцениваемый период хотя бы один дисциплинарный проступок, и имеющим в связи с этим дисциплинарное взыскание, поскольку непременным основанием применения мер поощрения является добросовестное исполнение работником своих трудовых обязанностей.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5.3. При наличии оснований для поощрения работника представление о поощрении работника подается на имя директора Госагентства следующими уполномоченными лицами: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начальником отдела п</w:t>
      </w:r>
      <w:r>
        <w:rPr>
          <w:rFonts w:cs="Times New Roman" w:ascii="Times New Roman" w:hAnsi="Times New Roman"/>
          <w:sz w:val="28"/>
          <w:szCs w:val="28"/>
          <w:lang w:val="ky-KG"/>
        </w:rPr>
        <w:t>равовой экспертизы и</w:t>
      </w:r>
      <w:r>
        <w:rPr>
          <w:rFonts w:cs="Times New Roman" w:ascii="Times New Roman" w:hAnsi="Times New Roman"/>
          <w:sz w:val="28"/>
          <w:szCs w:val="28"/>
        </w:rPr>
        <w:t xml:space="preserve"> управления персоналом;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непосредственным руководителем работника или заместителем директора в случае поощрения руководителя структурного подразделения.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о применении мер поощрения согласовывается с</w:t>
      </w:r>
      <w:r>
        <w:rPr>
          <w:rFonts w:cs="Times New Roman" w:ascii="Times New Roman" w:hAnsi="Times New Roman"/>
          <w:sz w:val="28"/>
          <w:szCs w:val="28"/>
          <w:lang w:val="ky-KG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статс-секретарем.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Представление о поощрении подается уполномоченным лицом на согласование не позднее, чем за две недели до применения поощрения к работнику.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согласования со статс-секретарем  5 дней с момента получения представления. Согласованное представление статс-секретарь передает в отдел п</w:t>
      </w:r>
      <w:r>
        <w:rPr>
          <w:rFonts w:cs="Times New Roman" w:ascii="Times New Roman" w:hAnsi="Times New Roman"/>
          <w:sz w:val="28"/>
          <w:szCs w:val="28"/>
          <w:lang w:val="ky-KG"/>
        </w:rPr>
        <w:t>равовой экспертизы и</w:t>
      </w:r>
      <w:r>
        <w:rPr>
          <w:rFonts w:cs="Times New Roman" w:ascii="Times New Roman" w:hAnsi="Times New Roman"/>
          <w:sz w:val="28"/>
          <w:szCs w:val="28"/>
        </w:rPr>
        <w:t xml:space="preserve"> управления персоналом.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согласованного представления отдел п</w:t>
      </w:r>
      <w:r>
        <w:rPr>
          <w:rFonts w:cs="Times New Roman" w:ascii="Times New Roman" w:hAnsi="Times New Roman"/>
          <w:sz w:val="28"/>
          <w:szCs w:val="28"/>
          <w:lang w:val="ky-KG"/>
        </w:rPr>
        <w:t>равовой экспертизы и</w:t>
      </w:r>
      <w:r>
        <w:rPr>
          <w:rFonts w:cs="Times New Roman" w:ascii="Times New Roman" w:hAnsi="Times New Roman"/>
          <w:sz w:val="28"/>
          <w:szCs w:val="28"/>
        </w:rPr>
        <w:t xml:space="preserve"> управления персоналом готовит проект приказа о поощрении работника (или работников) и передает его Директору совместно с представлением.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в течение пяти дней со дня получения материалов рассматривает представление о поощрении и проект приказа о поощрении работника (или работников) и при согласии подписывает приказ о поощрении работника (или работников).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приказом о поощрении работника (работников) знакомят под подпись.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Содержание приказа доводится до сведения</w:t>
      </w:r>
      <w:r>
        <w:rPr>
          <w:rFonts w:cs="Times New Roman" w:ascii="Times New Roman" w:hAnsi="Times New Roman"/>
          <w:sz w:val="28"/>
          <w:szCs w:val="28"/>
          <w:lang w:val="ky-KG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коллектива на общем собрании работников или путем размещения соответствующего объявления на Информационной доске. </w:t>
      </w:r>
    </w:p>
    <w:p>
      <w:pPr>
        <w:pStyle w:val="Default"/>
        <w:ind w:left="0" w:right="0" w:firstLine="709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5.5. В трудовую книжку и личную карточку работника вносятся сведения о награждениях и иных мерах поощрения, предусмотренных законодательством Кыргызской Республики, а также коллективным договором, правилами внутреннего трудового распорядка</w:t>
      </w:r>
      <w:r>
        <w:rPr>
          <w:rFonts w:cs="Times New Roman" w:ascii="Times New Roman" w:hAnsi="Times New Roman"/>
          <w:color w:val="00000A"/>
          <w:sz w:val="28"/>
          <w:szCs w:val="28"/>
          <w:lang w:val="ky-KG"/>
        </w:rPr>
        <w:t>.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</w:p>
    <w:p>
      <w:pPr>
        <w:pStyle w:val="Default"/>
        <w:ind w:left="0" w:right="0" w:firstLine="709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5.6. За высокие результаты и достижения в работе Статс-секретарь Госагентства готовит материалы дела для оказания помощи по решению жилищных и других бытовых нужд сотрудников и согласовывает с директором Госагентства. В случае положительного решения вопроса готовится письмо-просьб</w:t>
      </w:r>
      <w:r>
        <w:rPr>
          <w:rFonts w:cs="Times New Roman" w:ascii="Times New Roman" w:hAnsi="Times New Roman"/>
          <w:color w:val="00000A"/>
          <w:sz w:val="28"/>
          <w:szCs w:val="28"/>
          <w:lang w:val="ky-KG"/>
        </w:rPr>
        <w:t>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от имени Госагентства в соответствующие уполномоченные органы в интересах отличившегося сотрудника. </w:t>
      </w:r>
    </w:p>
    <w:p>
      <w:pPr>
        <w:pStyle w:val="Default"/>
        <w:ind w:left="0" w:right="0" w:firstLine="709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5.7. Для поднятия и поддержания имиджа своих сотрудников как высокопрофессиональных работников, Госагентство через отдел по связям с общественностью освещает деятельность и достижения своих работников через СМИ и способствует формированию положительного имиджа сотрудника.  </w:t>
      </w:r>
    </w:p>
    <w:p>
      <w:pPr>
        <w:pStyle w:val="1"/>
        <w:ind w:left="0" w:right="0" w:firstLine="709"/>
        <w:jc w:val="center"/>
        <w:rPr>
          <w:rFonts w:cs="Times New Roman" w:ascii="Times New Roman" w:hAnsi="Times New Roman"/>
          <w:color w:val="00000A"/>
        </w:rPr>
      </w:pPr>
      <w:bookmarkStart w:id="10" w:name="_Toc474157254"/>
      <w:bookmarkStart w:id="11" w:name="_Toc474157479"/>
      <w:bookmarkEnd w:id="10"/>
      <w:bookmarkEnd w:id="11"/>
      <w:r>
        <w:rPr>
          <w:rFonts w:cs="Times New Roman" w:ascii="Times New Roman" w:hAnsi="Times New Roman"/>
          <w:color w:val="00000A"/>
        </w:rPr>
        <w:t>6. Дополнительные льготы при увольнении сотрудников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Работникам, проработавшим 5 и более лет в Госагентстве, при увольнении по собственному желанию Госагентство предоставляет ценные подарки.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Ресурсы на покупку подарков собираются коллективом добровольно по представлению начальника отдела п</w:t>
      </w:r>
      <w:r>
        <w:rPr>
          <w:rFonts w:cs="Times New Roman" w:ascii="Times New Roman" w:hAnsi="Times New Roman"/>
          <w:sz w:val="28"/>
          <w:szCs w:val="28"/>
          <w:lang w:val="ky-KG"/>
        </w:rPr>
        <w:t>равовой экспертизы и</w:t>
      </w:r>
      <w:r>
        <w:rPr>
          <w:rFonts w:cs="Times New Roman" w:ascii="Times New Roman" w:hAnsi="Times New Roman"/>
          <w:sz w:val="28"/>
          <w:szCs w:val="28"/>
        </w:rPr>
        <w:t xml:space="preserve"> управлени</w:t>
      </w:r>
      <w:r>
        <w:rPr>
          <w:rFonts w:cs="Times New Roman" w:ascii="Times New Roman" w:hAnsi="Times New Roman"/>
          <w:sz w:val="28"/>
          <w:szCs w:val="28"/>
          <w:lang w:val="ky-KG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персоналом и председателя профсоюзного комитета. </w:t>
      </w:r>
    </w:p>
    <w:p>
      <w:pPr>
        <w:pStyle w:val="1"/>
        <w:ind w:left="0" w:right="0" w:firstLine="709"/>
        <w:jc w:val="center"/>
        <w:rPr>
          <w:rFonts w:cs="Times New Roman" w:ascii="Times New Roman" w:hAnsi="Times New Roman"/>
          <w:color w:val="00000A"/>
        </w:rPr>
      </w:pPr>
      <w:bookmarkStart w:id="12" w:name="_Toc474157255"/>
      <w:bookmarkStart w:id="13" w:name="_Toc474157480"/>
      <w:bookmarkEnd w:id="12"/>
      <w:bookmarkEnd w:id="13"/>
      <w:r>
        <w:rPr>
          <w:rFonts w:cs="Times New Roman" w:ascii="Times New Roman" w:hAnsi="Times New Roman"/>
          <w:color w:val="00000A"/>
        </w:rPr>
        <w:t>7. Порядок реализации норм и правил Положения о нематериальной мотивации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 Нормы и правила, установленные в Положении о мотивации, ложатся в основу планов и регламентов, иных локальных актов по реализации мероприятий мотивации сотрудников Госагентства к качественному выполнению </w:t>
      </w:r>
      <w:r>
        <w:rPr>
          <w:rFonts w:cs="Times New Roman" w:ascii="Times New Roman" w:hAnsi="Times New Roman"/>
          <w:sz w:val="28"/>
          <w:szCs w:val="28"/>
          <w:lang w:val="ky-KG"/>
        </w:rPr>
        <w:t xml:space="preserve">должностных </w:t>
      </w:r>
      <w:r>
        <w:rPr>
          <w:rFonts w:cs="Times New Roman" w:ascii="Times New Roman" w:hAnsi="Times New Roman"/>
          <w:sz w:val="28"/>
          <w:szCs w:val="28"/>
        </w:rPr>
        <w:t xml:space="preserve">обязанностей.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Руководители подразделений по согласованию с начальником отдела п</w:t>
      </w:r>
      <w:r>
        <w:rPr>
          <w:rFonts w:cs="Times New Roman" w:ascii="Times New Roman" w:hAnsi="Times New Roman"/>
          <w:sz w:val="28"/>
          <w:szCs w:val="28"/>
          <w:lang w:val="ky-KG"/>
        </w:rPr>
        <w:t>равовой экспертизы и</w:t>
      </w:r>
      <w:r>
        <w:rPr>
          <w:rFonts w:cs="Times New Roman" w:ascii="Times New Roman" w:hAnsi="Times New Roman"/>
          <w:sz w:val="28"/>
          <w:szCs w:val="28"/>
        </w:rPr>
        <w:t xml:space="preserve"> управлени</w:t>
      </w:r>
      <w:r>
        <w:rPr>
          <w:rFonts w:cs="Times New Roman" w:ascii="Times New Roman" w:hAnsi="Times New Roman"/>
          <w:sz w:val="28"/>
          <w:szCs w:val="28"/>
          <w:lang w:val="ky-KG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персоналом</w:t>
      </w:r>
      <w:r>
        <w:rPr>
          <w:rFonts w:cs="Times New Roman" w:ascii="Times New Roman" w:hAnsi="Times New Roman"/>
          <w:sz w:val="28"/>
          <w:szCs w:val="28"/>
          <w:lang w:val="ky-KG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планируют еже</w:t>
      </w:r>
      <w:r>
        <w:rPr>
          <w:rFonts w:cs="Times New Roman" w:ascii="Times New Roman" w:hAnsi="Times New Roman"/>
          <w:sz w:val="28"/>
          <w:szCs w:val="28"/>
          <w:lang w:val="ky-KG"/>
        </w:rPr>
        <w:t>квартальный</w:t>
      </w:r>
      <w:r>
        <w:rPr>
          <w:rFonts w:cs="Times New Roman" w:ascii="Times New Roman" w:hAnsi="Times New Roman"/>
          <w:sz w:val="28"/>
          <w:szCs w:val="28"/>
        </w:rPr>
        <w:t xml:space="preserve"> пакет нематериальных стимулов подчиненных сотрудников по результатам за квартал.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Отдел п</w:t>
      </w:r>
      <w:r>
        <w:rPr>
          <w:rFonts w:cs="Times New Roman" w:ascii="Times New Roman" w:hAnsi="Times New Roman"/>
          <w:sz w:val="28"/>
          <w:szCs w:val="28"/>
          <w:lang w:val="ky-KG"/>
        </w:rPr>
        <w:t>равовой экспертизы и</w:t>
      </w:r>
      <w:r>
        <w:rPr>
          <w:rFonts w:cs="Times New Roman" w:ascii="Times New Roman" w:hAnsi="Times New Roman"/>
          <w:sz w:val="28"/>
          <w:szCs w:val="28"/>
        </w:rPr>
        <w:t xml:space="preserve"> управления персоналом планирует, организует и проводит все мероприятия, предусмотренные Положением о мотивации. </w:t>
      </w:r>
    </w:p>
    <w:p>
      <w:pPr>
        <w:pStyle w:val="Default"/>
        <w:ind w:left="0" w:right="0" w:firstLine="709"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7.4. План мероприятий и регламентов по их проведению составляется отделом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  <w:lang w:val="ky-KG"/>
        </w:rPr>
        <w:t>равовой экспертизы и</w:t>
      </w:r>
      <w:r>
        <w:rPr>
          <w:rFonts w:cs="Times New Roman" w:ascii="Times New Roman" w:hAnsi="Times New Roman"/>
          <w:sz w:val="28"/>
          <w:szCs w:val="28"/>
        </w:rPr>
        <w:t xml:space="preserve"> управлени</w:t>
      </w:r>
      <w:r>
        <w:rPr>
          <w:rFonts w:cs="Times New Roman" w:ascii="Times New Roman" w:hAnsi="Times New Roman"/>
          <w:sz w:val="28"/>
          <w:szCs w:val="28"/>
          <w:lang w:val="ky-KG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персоналом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и утверждается статс-секретарем на год после подведения итогов и составления отчетности за прошедший финансовый год.</w:t>
      </w:r>
    </w:p>
    <w:sectPr>
      <w:footerReference w:type="default" r:id="rId4"/>
      <w:footerReference w:type="first" r:id="rId5"/>
      <w:type w:val="nextPage"/>
      <w:pgSz w:w="11906" w:h="16838"/>
      <w:pgMar w:left="1701" w:right="1133" w:header="0" w:top="1134" w:footer="708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  <w:rPr>
        <w:rFonts w:cs="Times New Roman" w:ascii="Times New Roman" w:hAnsi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  <w:rPr>
        <w:rFonts w:cs="Times New Roman" w:ascii="Times New Roman" w:hAnsi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  <w:rPr>
        <w:rFonts w:cs="Times New Roman" w:ascii="Times New Roman" w:hAnsi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187f20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2">
    <w:name w:val="Заголовок 2"/>
    <w:uiPriority w:val="9"/>
    <w:qFormat/>
    <w:unhideWhenUsed/>
    <w:link w:val="20"/>
    <w:rsid w:val="00187f20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d5444c"/>
    <w:basedOn w:val="DefaultParagraphFont"/>
    <w:rPr/>
  </w:style>
  <w:style w:type="character" w:styleId="11" w:customStyle="1">
    <w:name w:val="Заголовок 1 Знак"/>
    <w:uiPriority w:val="9"/>
    <w:link w:val="1"/>
    <w:rsid w:val="00187f20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21" w:customStyle="1">
    <w:name w:val="Заголовок 2 Знак"/>
    <w:uiPriority w:val="9"/>
    <w:link w:val="2"/>
    <w:rsid w:val="00187f20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Style12">
    <w:name w:val="Интернет-ссылка"/>
    <w:uiPriority w:val="99"/>
    <w:unhideWhenUsed/>
    <w:rsid w:val="0042196c"/>
    <w:basedOn w:val="DefaultParagraphFont"/>
    <w:rPr>
      <w:color w:val="0000FF"/>
      <w:u w:val="single"/>
      <w:lang w:val="zxx" w:eastAsia="zxx" w:bidi="zxx"/>
    </w:rPr>
  </w:style>
  <w:style w:type="character" w:styleId="Style13" w:customStyle="1">
    <w:name w:val="Текст выноски Знак"/>
    <w:uiPriority w:val="99"/>
    <w:semiHidden/>
    <w:link w:val="a5"/>
    <w:rsid w:val="0042196c"/>
    <w:basedOn w:val="DefaultParagraphFont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uiPriority w:val="99"/>
    <w:link w:val="a7"/>
    <w:rsid w:val="00e53f47"/>
    <w:basedOn w:val="DefaultParagraphFont"/>
    <w:rPr/>
  </w:style>
  <w:style w:type="character" w:styleId="Style15" w:customStyle="1">
    <w:name w:val="Нижний колонтитул Знак"/>
    <w:uiPriority w:val="99"/>
    <w:link w:val="a9"/>
    <w:rsid w:val="00e53f47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1f2ba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0"/>
      <w:sz w:val="24"/>
      <w:szCs w:val="24"/>
      <w:lang w:val="ru-RU" w:eastAsia="en-US" w:bidi="ar-SA"/>
    </w:rPr>
  </w:style>
  <w:style w:type="paragraph" w:styleId="Style21">
    <w:name w:val="Заголовок оглавления"/>
    <w:uiPriority w:val="39"/>
    <w:qFormat/>
    <w:semiHidden/>
    <w:unhideWhenUsed/>
    <w:rsid w:val="0042196c"/>
    <w:basedOn w:val="1"/>
    <w:pPr/>
    <w:rPr>
      <w:lang w:eastAsia="ru-RU"/>
    </w:rPr>
  </w:style>
  <w:style w:type="paragraph" w:styleId="12">
    <w:name w:val="Оглавление 1"/>
    <w:uiPriority w:val="39"/>
    <w:unhideWhenUsed/>
    <w:rsid w:val="0042196c"/>
    <w:basedOn w:val="Normal"/>
    <w:autoRedefine/>
    <w:pPr>
      <w:spacing w:before="0" w:after="100"/>
    </w:pPr>
    <w:rPr/>
  </w:style>
  <w:style w:type="paragraph" w:styleId="BalloonText">
    <w:name w:val="Balloon Text"/>
    <w:uiPriority w:val="99"/>
    <w:semiHidden/>
    <w:unhideWhenUsed/>
    <w:link w:val="a6"/>
    <w:rsid w:val="0042196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колонтитул"/>
    <w:uiPriority w:val="99"/>
    <w:unhideWhenUsed/>
    <w:link w:val="a8"/>
    <w:rsid w:val="00e53f47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a"/>
    <w:rsid w:val="00e53f47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9298-C3AB-44A1-8A8E-C1BFBF13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2017-11-24T10:47:00Z</dcterms:created>
  <dc:creator>Admin</dc:creator>
  <dc:language>ru-RU</dc:language>
  <cp:lastModifiedBy>User</cp:lastModifiedBy>
  <cp:lastPrinted>2017-08-30T12:03:00Z</cp:lastPrinted>
  <dcterms:modified xsi:type="dcterms:W3CDTF">2017-11-24T10:47:00Z</dcterms:modified>
  <cp:revision>2</cp:revision>
</cp:coreProperties>
</file>