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5"/>
        <w:rPr/>
      </w:pPr>
      <w:r>
        <w:rPr/>
        <w:t xml:space="preserve">Текст возражения </w:t>
      </w:r>
      <w:r>
        <w:rPr/>
        <w:t xml:space="preserve">президента КР Алмазбека Атамбаева </w:t>
      </w:r>
      <w:r>
        <w:rPr/>
        <w:t>к законопроекту:</w:t>
      </w:r>
    </w:p>
    <w:p>
      <w:pPr>
        <w:pStyle w:val="Style15"/>
        <w:rPr/>
      </w:pPr>
      <w:r>
        <w:rPr/>
        <w:t>«Во-первых, рассматриваемый закон «Об установлении ставок вывозных (экспортных) таможенных пошлин на товары, вывозимые с территории КР противоречит законам КР «О таможенном тарифе КР» и «О правительстве КР», имеющему по сравнению с рассматриваемым законом, более высокую юридическую силу, в части полномочий правительства по установлению ставок вывозных таможенных пошлин и перечня товаров.</w:t>
      </w:r>
    </w:p>
    <w:p>
      <w:pPr>
        <w:pStyle w:val="Style15"/>
        <w:rPr/>
      </w:pPr>
      <w:r>
        <w:rPr/>
        <w:t>Данные утверждения основываются на следующих доводах.</w:t>
      </w:r>
    </w:p>
    <w:p>
      <w:pPr>
        <w:pStyle w:val="Style15"/>
        <w:rPr/>
      </w:pPr>
      <w:r>
        <w:rPr/>
        <w:t>Согласно статье 8 закона КР «О таможенном тарифе КР» от 29 марта 2006 года №81 ставки ввозных (импортных) и вывозных (экспортных) таможенных пошлин в пределах связанных тарифов в рамках ВТО утверждаются ежегодно правительством КР. При не утверждении правительством КР ставок таможенных пошлин действуют ставки предыдущего года.</w:t>
      </w:r>
    </w:p>
    <w:p>
      <w:pPr>
        <w:pStyle w:val="Style15"/>
        <w:rPr/>
      </w:pPr>
      <w:r>
        <w:rPr/>
        <w:t>Указанный закон утратит силу со дня вступления в силу нового закона КР «О таможенном тарифе КР» от 30 декабря 2014 года №173, который будет введен в действие с даты начала применения в КР Единого таможенного тарифа ЕАЭС согласно Договору о присоединении КР к Договору о ЕАЭС от 29 мая 2014 года.</w:t>
      </w:r>
    </w:p>
    <w:p>
      <w:pPr>
        <w:pStyle w:val="Style15"/>
        <w:rPr/>
      </w:pPr>
      <w:r>
        <w:rPr/>
        <w:t>В соответствии с частью 4 статьи 4 нового закона КР «О таможенном тарифе КР» «ставки вывозных таможенных пошлин и перечень товаров, в отношении которых применяются вывозные пошлины, устанавливаются правительством КР».</w:t>
      </w:r>
    </w:p>
    <w:p>
      <w:pPr>
        <w:pStyle w:val="Style15"/>
        <w:rPr/>
      </w:pPr>
      <w:r>
        <w:rPr/>
        <w:t>Пунктом 20 части 1 статьи 10 (Полномочия правительства) конституционного закона КР «О правительстве КР» от 18 июня 2012 года №85 установлено, что правительство «разрабатывает, утверждает и реализует меры таможенно-тарифного и нетарифного регулирования». При этом правительство осуществляет иные полномочия, отнесенные к его ведению Конституцией КР, настоящим конституционным законом и законами (пункт 36 части 1 статьи 10).</w:t>
      </w:r>
    </w:p>
    <w:p>
      <w:pPr>
        <w:pStyle w:val="Style15"/>
        <w:rPr/>
      </w:pPr>
      <w:r>
        <w:rPr/>
        <w:t>Во-вторых, с введением ставок вывозных (экспортных) таможенных пошлин на товары, вывозимые с территории КР, возможно снижение поступления в бюджет, так как ожидается снижение объемов экспорта руда и поступлений в доходную часть госбюджета по таможенным платежам и НДС, а также сокращение объемов экспорта руды и концентратов драгоценных металлов и работ по разработке золотосодержащих месторождений. Таким образом, вместо обещанного рассматриваемым законом увеличения поступлений в бюджет может произойти сокращение доходной части бюджета.</w:t>
      </w:r>
    </w:p>
    <w:p>
      <w:pPr>
        <w:pStyle w:val="Style15"/>
        <w:rPr/>
      </w:pPr>
      <w:r>
        <w:rPr/>
        <w:t>По данным Государственной таможенной службы, общий объем экспорта руды и концентратов драгоценных металлов по итогам 2014 года составил 126,0 тыс. тонн на общую сумму 2 179,1 млн сомов. Таможенные сборы за указанный объем экспорта составили в сумме 6 385,6 млн сомов. При этом доля экспорта руды и концентратов драгоценных металлов, направляемых на переработку, составила 98,2% к общему объему экспорта 2014 года. Вместе с тем удельный вес экспорта руды и концентратов драгоценных металлов, направляемых на переработку, в текущем 2015 году составил нулевой уровень. Также отмечено о значительном снижении общего объема экспорта до 6,9 тыс. тонн за 1 полугодие 2015 года.</w:t>
      </w:r>
    </w:p>
    <w:p>
      <w:pPr>
        <w:pStyle w:val="Style15"/>
        <w:rPr/>
      </w:pPr>
      <w:r>
        <w:rPr/>
        <w:t>Указанная статистическая информация свидетельствует о сокращении на сегодняшний день объемов экспорта руды и концентратов драгоценных металлов вследствие отсутствия объемов экспорта указанных товаров, направляемых на переработку.</w:t>
      </w:r>
    </w:p>
    <w:p>
      <w:pPr>
        <w:pStyle w:val="Style15"/>
        <w:rPr/>
      </w:pPr>
      <w:r>
        <w:rPr/>
        <w:t>Отмечается, что имеющиеся технические и технологические мощности, территориальные, транспортные и иные инфраструктурные особенности в отечественной горнодобывающей отрасли не позволяют в настоящее время осуществлять переработку всех видов комплексных руд и концентратов драгметаллов, добываемых на территории КР.</w:t>
      </w:r>
    </w:p>
    <w:p>
      <w:pPr>
        <w:pStyle w:val="Style15"/>
        <w:rPr/>
      </w:pPr>
      <w:r>
        <w:rPr/>
        <w:t>Более того, в КР еще не проводились исследования, содержащие технико-экономические расчеты, которые позволяют оценить технологическую возможность, в том числе с учетом экологической составляющей по утилизации вредных отходов такого производства, и экономическую целесообразность переработки отдельных видов руд и концентратов, содержащих драгметаллы на территории КР.</w:t>
      </w:r>
    </w:p>
    <w:p>
      <w:pPr>
        <w:pStyle w:val="Style15"/>
        <w:rPr/>
      </w:pPr>
      <w:r>
        <w:rPr/>
        <w:t>Учитывая, что на строительство новых перерабатывающих предприятий необходимо определенное время, а также имеющиеся на местах проблемы с выделением земель под строительство перерабатывающих комплексов, преждевременное введение экспортных пошлин может привести к сокращению объемов экспорта руды и концентратов драгметаллов и приостановке работ по разработке золотосодержащих месторождений.</w:t>
      </w:r>
    </w:p>
    <w:p>
      <w:pPr>
        <w:pStyle w:val="Style15"/>
        <w:rPr/>
      </w:pPr>
      <w:r>
        <w:rPr/>
        <w:t>В-третьих, предоставление таможенных льгот определенной категории плательщиков (ОАО «Кыргызалтын») недопустимо в соответствии с нормативными правовыми актами КР.</w:t>
      </w:r>
    </w:p>
    <w:p>
      <w:pPr>
        <w:pStyle w:val="Style15"/>
        <w:rPr/>
      </w:pPr>
      <w:r>
        <w:rPr/>
        <w:t>Правоотношения, вытекающие за счет перемещения через таможенную границу товаров и транспортных средств, взимания таможенных платежей, таможенных режимов, таможенного оформления, таможенного контроля обусловлены только в отношении товаров и транспортных средств, но не в отношении отдельных категорий лиц, перемещающих товары.</w:t>
      </w:r>
    </w:p>
    <w:p>
      <w:pPr>
        <w:pStyle w:val="Style15"/>
        <w:rPr/>
      </w:pPr>
      <w:r>
        <w:rPr/>
        <w:t>Освобождение от уплаты таможенных пошлин определенной категории плательщиков не отвечает принципу равенства, предусмотренного Конституцией КР.</w:t>
      </w:r>
    </w:p>
    <w:p>
      <w:pPr>
        <w:pStyle w:val="Style15"/>
        <w:rPr/>
      </w:pPr>
      <w:r>
        <w:rPr/>
        <w:t>Есть еще экологический аспект в вопросе о введении экспортных пошлин для ОАО «Кыргызалтын». Если экспортные пошлины для ОАО «Кыргызалтын» будут введены до завершения строительства новой перерабатывающей фабрики по извлечению драгметаллов, то это может привести к закрытию его филиала «Терексайский рудник». Данный филиал производит флотоконцентрат, содержащий вредную и токсичную технологическую примесь — мышьяк, утилизация которого требует современных экологических технологий. С экологической точки зрения такой флотоконцентрат безопасно перерабатывать за рубежом до появления современных технологий в КР».</w:t>
      </w:r>
    </w:p>
    <w:p>
      <w:pPr>
        <w:pStyle w:val="Style15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2018-07-26T16:37:00Z</dcterms:created>
  <dc:creator>Кейко</dc:creator>
  <dc:language>ru-RU</dc:language>
  <cp:revision>0</cp:revision>
</cp:coreProperties>
</file>