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diagrams/drawing1.xml" ContentType="application/vnd.openxmlformats-officedocument.drawingml.diagramDrawing+xml"/>
  <Override PartName="/word/diagrams/colors1.xml" ContentType="application/vnd.openxmlformats-officedocument.drawingml.diagramColors+xml"/>
  <Override PartName="/word/diagrams/quickStyle1.xml" ContentType="application/vnd.openxmlformats-officedocument.drawingml.diagramStyle+xml"/>
  <Override PartName="/word/diagrams/layout1.xml" ContentType="application/vnd.openxmlformats-officedocument.drawingml.diagramLayout+xml"/>
  <Override PartName="/word/diagrams/data1.xml" ContentType="application/vnd.openxmlformats-officedocument.drawingml.diagramData+xml"/>
  <Override PartName="/word/charts/chart1.xml" ContentType="application/vnd.openxmlformats-officedocument.drawingml.chart+xml"/>
  <Override PartName="/word/media/image16.jpeg" ContentType="image/jpeg"/>
  <Override PartName="/word/media/image15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media/image8.jpeg" ContentType="image/jpeg"/>
  <Override PartName="/word/media/image7.jpeg" ContentType="image/jpeg"/>
  <Override PartName="/word/media/image9.jpeg" ContentType="image/jpeg"/>
  <Override PartName="/word/media/image6.jpeg" ContentType="image/jpeg"/>
  <Override PartName="/word/media/image4.jpeg" ContentType="image/jpeg"/>
  <Override PartName="/word/media/image5.jpeg" ContentType="image/jpeg"/>
  <Override PartName="/word/media/image3.jpeg" ContentType="image/jpeg"/>
  <Override PartName="/word/media/image2.jpeg" ContentType="image/jpeg"/>
  <Override PartName="/word/media/image14.jpeg" ContentType="image/jpeg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before="0" w:after="0"/>
        <w:ind w:left="0" w:right="0"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Проект «Строительство линии электропередачи</w:t>
      </w:r>
    </w:p>
    <w:p>
      <w:pPr>
        <w:pStyle w:val="Normal"/>
        <w:spacing w:before="0" w:after="0"/>
        <w:ind w:left="0" w:right="0"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500 кВ «Датка-Кемин» и подстанции 500 кВ «Кемин»</w:t>
      </w:r>
    </w:p>
    <w:p>
      <w:pPr>
        <w:pStyle w:val="Normal"/>
        <w:spacing w:lineRule="auto" w:line="264" w:before="24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Проектом предусмотрено строительство линии электропередачи 500 кВ «Датка-Кемин» протяженностью 405 км и подстанции 500 кВ «Кемин» с дополнительной установкой автотрансформаторов на подстанции 500 кВ «Датка» и «Кемин» мощностью 501  МВА каждый и  замена 2-х автотрансформаторов на подстанции 220 кВ «Ала-Арча» мощностью 200 МВА каждый.</w:t>
      </w:r>
    </w:p>
    <w:p>
      <w:pPr>
        <w:pStyle w:val="Normal"/>
        <w:spacing w:lineRule="auto" w:line="264" w:before="0" w:after="0"/>
        <w:ind w:left="0" w:right="0" w:firstLine="709"/>
        <w:jc w:val="both"/>
        <w:rPr>
          <w:lang w:eastAsia="ru-RU"/>
        </w:rPr>
      </w:pPr>
      <w:r>
        <w:rPr>
          <w:rFonts w:ascii="Times New Roman" w:hAnsi="Times New Roman"/>
        </w:rPr>
        <w:t>В целях проведения переговоров по финансированию проекта, распоряжением Правительства Кыргызской Республики от 19 января 2012</w:t>
      </w:r>
      <w:r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</w:rPr>
        <w:t xml:space="preserve">года № 11-р была создана межведомственная комиссия с участием депутатов Жогорку Кенеша Кыргызской Республики от каждой фракции, </w:t>
      </w:r>
      <w:hyperlink r:id="rId2">
        <w:r>
          <w:rPr>
            <w:rStyle w:val="Style14"/>
            <w:rFonts w:ascii="Times New Roman" w:hAnsi="Times New Roman"/>
          </w:rPr>
          <w:t>неправительственных организаци</w:t>
        </w:r>
      </w:hyperlink>
      <w:r>
        <w:rPr>
          <w:rFonts w:ascii="Times New Roman" w:hAnsi="Times New Roman"/>
        </w:rPr>
        <w:t>й, министерств и ведомств.</w:t>
      </w:r>
      <w:r>
        <w:rPr>
          <w:lang w:eastAsia="ru-RU"/>
        </w:rPr>
        <w:t xml:space="preserve"> </w:t>
      </w:r>
    </w:p>
    <w:p>
      <w:pPr>
        <w:pStyle w:val="Normal"/>
        <w:spacing w:lineRule="auto" w:line="264"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обеспечения энергетической безопасности, а также учитывая стратегическое и социальное значение данного проекта и решение правительственной Межведомственной комиссии, Правительство Кыргызской Республики приняло Распоряжение №58-р от 22 февраля 2012 года, где ОАО «НЭС Кыргызстана» рекомендовано заключить Контрактное соглашение с компанией «ТВЕА» (КНР) по реализации проекта «Строительство линии электропередачи 500 кВ «Датка-Кемин» и подстанции 500 кВ «Кемин» (далее – Проект).</w:t>
      </w:r>
    </w:p>
    <w:p>
      <w:pPr>
        <w:pStyle w:val="Normal"/>
        <w:spacing w:lineRule="auto" w:line="264"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23 февраля 2012 года подписано Контрактное соглашение между ОАО «НЭС Кыргызстана» и компанией «ТВЕА» на общую сумму 389 795 000 долларов США.</w:t>
      </w:r>
    </w:p>
    <w:p>
      <w:pPr>
        <w:pStyle w:val="Normal"/>
        <w:spacing w:lineRule="auto" w:line="264" w:before="0" w:after="0"/>
        <w:ind w:left="0" w:right="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 июня 2012 года в городе Пекин (КНР) подписано Льготное кредитное соглашение между Правительством Кыргызской Республики, представленное Министерством финансов Кыргызской Республики, и Экспортно-импортным банком КНР по финансированию Проекта.</w:t>
      </w:r>
    </w:p>
    <w:p>
      <w:pPr>
        <w:pStyle w:val="Normal"/>
        <w:spacing w:lineRule="auto" w:line="264"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19 июня 2012 года Президентом Кыргызской Республики подписан Закон Кыргызской Республики «О ратификации Льготного кредитного соглашения между Правительством Кыргызской Республики, представленное Министерством финансов Кыргызской Республики, и Экспортно-импортным банком КНР по финансированию проекта «Строительство линии электропередачи 500 кВ «Датка-Кемин» и подстанции 500 кВ «Кемин».</w:t>
      </w:r>
    </w:p>
    <w:p>
      <w:pPr>
        <w:pStyle w:val="Normal"/>
        <w:spacing w:before="0" w:after="0"/>
        <w:ind w:left="0" w:right="0" w:firstLine="709"/>
        <w:jc w:val="both"/>
        <w:rPr>
          <w:lang w:eastAsia="ru-RU"/>
        </w:rPr>
      </w:pPr>
      <w:r>
        <w:rPr>
          <w:rFonts w:ascii="Times New Roman" w:hAnsi="Times New Roman"/>
        </w:rPr>
        <w:t>1 августа 2012 года состоялась торжественная церемония закладки памятной капсулы на месте строительства подстанции 500 кВ «Кемин» с участием Президента Кыргызской Республики Атамбаева А.Ш.</w:t>
      </w:r>
      <w:r>
        <w:rPr>
          <w:lang w:eastAsia="ru-RU"/>
        </w:rPr>
        <w:t xml:space="preserve"> </w:t>
        <w:drawing>
          <wp:anchor behindDoc="1" distT="0" distB="0" distL="114300" distR="114300" simplePos="0" locked="0" layoutInCell="1" allowOverlap="1" relativeHeight="0">
            <wp:simplePos x="0" y="0"/>
            <wp:positionH relativeFrom="column">
              <wp:posOffset>100965</wp:posOffset>
            </wp:positionH>
            <wp:positionV relativeFrom="paragraph">
              <wp:posOffset>162560</wp:posOffset>
            </wp:positionV>
            <wp:extent cx="1329690" cy="2704465"/>
            <wp:effectExtent l="0" t="0" r="0" b="0"/>
            <wp:wrapSquare wrapText="bothSides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30 августа 2012 года была произведена первая выплата по займу (аванс) в размере 77 959 000 долларов США и этот день объявлен датой начала работ и вступления Контрактного соглашения в силу, с завершением строительства энергообъектов по Проекту 30 августа 2015 года.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В Проекте работали специалисты из проектного института компании «ТВЕА» по инженерно-геологическим изысканиям почвы земли. Предварительный проект трассы линии электропередачи 500 кВ «Датка-Кемин» и подстанции 500 кВ «Кемин» рассмотрены ОАО «НЭС Кыргызстана», ОАО «Электрические станции» и Государственным агентством охраны окружающей среды и лесного хозяйства при Правительстве Кыргызской</w:t>
      </w:r>
      <w:r>
        <w:rPr>
          <w:rFonts w:ascii="Times New Roman" w:hAnsi="Times New Roman"/>
        </w:rPr>
        <w:t xml:space="preserve"> Республики.</w:t>
        <w:pict>
          <v:group id="shape_0" alt="Группа 41" style="position:absolute;margin-left:-120.55pt;margin-top:36pt;width:319.5pt;height:298.4pt" coordorigin="-2411,720" coordsize="6390,5968">
            <v:rect id="shape_0" stroked="f" style="position:absolute;left:-493;top:722;width:2671;height:5967;rotation:270">
              <v:imagedata r:id="rId4" detectmouseclick="t"/>
              <v:wrap v:type="none"/>
              <v:stroke color="#3465a4" joinstyle="round" endcap="flat"/>
            </v:rect>
            <v:shapetype id="shapetype_202" coordsize="21600,21600" o:spt="202" path="m,l,21600l21600,21600l21600,xe">
              <v:stroke joinstyle="miter"/>
              <v:path gradientshapeok="t" o:connecttype="rect"/>
            </v:shapetype>
            <v:shape id="shape_0" fillcolor="white" stroked="f" style="position:absolute;left:-2411;top:2465;width:6389;height:259" type="shapetype_202">
              <v:wrap v:type="none"/>
              <v:fill type="solid" color2="black" detectmouseclick="t"/>
              <v:stroke color="#3465a4" joinstyle="round" endcap="flat"/>
            </v:shape>
          </v:group>
        </w:pict>
      </w:r>
      <w:r>
        <w:pict>
          <v:rect fillcolor="#FFFFFF" stroked="f" strokeweight="0pt" style="position:absolute;width:64.95pt;height:24.05pt;mso-wrap-distance-left:9pt;mso-wrap-distance-right:9pt;mso-wrap-distance-top:0pt;mso-wrap-distance-bottom:0pt;margin-top:24.75pt;margin-left:-113pt">
            <v:textbox inset="0in,0in,0in,0in">
              <w:txbxContent>
                <w:p>
                  <w:pPr>
                    <w:pStyle w:val="Caption"/>
                    <w:spacing w:before="0" w:after="0"/>
                    <w:rPr/>
                  </w:pPr>
                  <w:r>
                    <w:rPr/>
                    <w:t>ПС «Кемин»</w:t>
                  </w:r>
                </w:p>
                <w:p>
                  <w:pPr>
                    <w:pStyle w:val="Caption"/>
                    <w:spacing w:before="0" w:after="0"/>
                    <w:rPr/>
                  </w:pPr>
                  <w:r>
                    <w:rPr/>
                    <w:t>1 августа 2012 г.</w:t>
                  </w:r>
                </w:p>
              </w:txbxContent>
            </v:textbox>
          </v:rect>
        </w:pic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рамках Проекта на подстанцию 220/110/10 кВ «Ала-Арча» осуществлена поставка двух автотрансформаторов (№ 1 и № 2) мощностью 200 МВА на сумму 5 млн. долларов США. 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Собственными силами ОАО «НЭС Кыргызстана» осуществлен демонтаж двух существующих автотрансформаторов мощностью                       125 МВА и монтаж новых двух автотрансформаторов мощностью                       200 МВА, в присутствии шеф-инженера завода изготовителя города Чан Цзи КНР.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24 октября 2012 года включен в работу автотрансформатор № 1 мощностью 200 МВА, а автотрансформатор № 2 мощностью 200 МВА включен в работу 27 ноября 2012 года с оформлением акта рабочей комиссии заказчика ОАО «НЭС Кыргызстана» и подрядчика компании «ТВЕА» (КНР).</w:t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446405</wp:posOffset>
            </wp:positionH>
            <wp:positionV relativeFrom="paragraph">
              <wp:posOffset>909955</wp:posOffset>
            </wp:positionV>
            <wp:extent cx="3858895" cy="2572385"/>
            <wp:effectExtent l="0" t="0" r="0" b="0"/>
            <wp:wrapTopAndBottom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right="0" w:firstLine="709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pict>
          <v:rect fillcolor="#FFFFFF" stroked="f" strokeweight="0pt" style="position:absolute;width:189.35pt;height:11.35pt;mso-wrap-distance-left:9pt;mso-wrap-distance-right:9pt;mso-wrap-distance-top:0pt;mso-wrap-distance-bottom:0pt;margin-top:195.65pt;margin-left:39.7pt">
            <v:textbox inset="0in,0in,0in,0in">
              <w:txbxContent>
                <w:p>
                  <w:pPr>
                    <w:pStyle w:val="Caption"/>
                    <w:spacing w:lineRule="auto" w:line="240" w:before="0" w:after="200"/>
                    <w:rPr/>
                  </w:pPr>
                  <w:r>
                    <w:rPr/>
                    <w:t>Монтаж АТ-1 на ПС 220/110/10 кВ «Ала-Арча»</w:t>
                  </w:r>
                </w:p>
              </w:txbxContent>
            </v:textbox>
          </v:rect>
        </w:pict>
      </w:r>
    </w:p>
    <w:p>
      <w:pPr>
        <w:pStyle w:val="Normal"/>
        <w:spacing w:lineRule="auto" w:line="252"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27 декабря 2012 года на расширенном техническом совете ОАО «НЭС Кыргызстана» с участием представителей Государственного агентства охраны окружающей среды и лесного хозяйства при Правительстве Кыргызской Республики, Министерства энергетики и промышленности Кыргызской Республики, Совета директоров ОАО «НЭС Кыргызстана» и компании «ТВЕА» рассмотрена и согласована с замечаниями предварительная трасса ВЛ 500 кВ «Датка-Кемин». В ходе осуществления Проекта внесены некоторые уточнения и изменения по трассе линии электропередачи 500 кВ «Датка-Кемин».</w:t>
      </w:r>
    </w:p>
    <w:p>
      <w:pPr>
        <w:pStyle w:val="Normal"/>
        <w:spacing w:lineRule="auto" w:line="252"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конце января 2013 года с участием специалистов ОАО «НЭС Кыргызстана» осуществлена приемка и заводские испытания автотрансформаторов 500/220/35 кВ на строительство второй очереди подстанций «Датка» и «Кемин».</w:t>
      </w:r>
    </w:p>
    <w:p>
      <w:pPr>
        <w:pStyle w:val="Normal"/>
        <w:spacing w:before="0" w:after="0"/>
        <w:ind w:left="0" w:right="0" w:firstLine="709"/>
        <w:jc w:val="both"/>
        <w:rPr/>
      </w:pPr>
      <w:r>
        <w:rPr/>
        <w:drawing>
          <wp:inline distT="0" distB="0" distL="0" distR="0">
            <wp:extent cx="3700780" cy="2217420"/>
            <wp:effectExtent l="0" t="0" r="0" b="0"/>
            <wp:docPr id="2" name="Picture" descr="C:\Users\Айсулуу\Desktop\Новая папка\SA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Айсулуу\Desktop\Новая папка\SAG_13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388" t="0" r="1508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rect fillcolor="#FFFFFF" stroked="f" strokeweight="0pt" style="position:absolute;width:96.7pt;height:9.8pt;mso-wrap-distance-left:9pt;mso-wrap-distance-right:9pt;mso-wrap-distance-top:0pt;mso-wrap-distance-bottom:0pt;margin-top:160.9pt;margin-left:40.85pt">
            <v:textbox inset="0in,0in,0in,0in">
              <w:txbxContent>
                <w:p>
                  <w:pPr>
                    <w:pStyle w:val="Caption"/>
                    <w:spacing w:lineRule="auto" w:line="240" w:before="0" w:after="200"/>
                    <w:rPr/>
                  </w:pPr>
                  <w:r>
                    <w:rPr/>
                    <w:t>ПС 500 кВ «Датка»</w:t>
                  </w:r>
                </w:p>
              </w:txbxContent>
            </v:textbox>
          </v:rect>
        </w:pic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302"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 15 ноября 2014 года завершено строительство подстанции 500/220/35 кВ «Кемин» и осуществлена перезаводка существующих линий электропередачи 220 кВ на ОРУ 220 кВ подстанции «Кемин», таких как Чуйская; Фрунзенская; Ак-Кия; Иссык-Кульская 1, 2; Западная (Алматы) и строительство новых линий Быстровка 1, 2 протяженностью                   41,1 км и на ОРУ-220 кВ подано напряжение. Рабочей комиссией ОАО «НЭС Кыргызстана» по приемке объектов проекта 12 декабря 2014 года был составлен Акт приемки.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shape_0" alt="Группа 43" style="position:absolute;margin-left:-2.95pt;margin-top:21.45pt;width:355.95pt;height:152.1pt" coordorigin="-59,429" coordsize="7119,3042">
            <v:rect id="shape_0" stroked="f" style="position:absolute;left:-59;top:429;width:3375;height:2767">
              <v:imagedata r:id="rId7" detectmouseclick="t"/>
              <v:wrap v:type="none"/>
              <v:stroke color="#3465a4" joinstyle="round" endcap="flat"/>
            </v:rect>
            <v:rect id="shape_0" stroked="f" style="position:absolute;left:3508;top:429;width:3551;height:2767">
              <v:imagedata r:id="rId8" detectmouseclick="t"/>
              <v:wrap v:type="none"/>
              <v:stroke color="#3465a4" joinstyle="round" endcap="flat"/>
            </v:rect>
            <v:shape id="shape_0" fillcolor="white" stroked="f" style="position:absolute;left:1577;top:3213;width:3738;height:256" type="shapetype_202">
              <v:wrap v:type="none"/>
              <v:fill type="solid" color2="black" detectmouseclick="t"/>
              <v:stroke color="#3465a4" joinstyle="round" endcap="flat"/>
            </v:shape>
          </v:group>
        </w:pic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процесе проектирования линии электропередачи 500 кВ «Датка-Кемин» проектировщиками учитывались особенности орографических, климатических, геологических и геофизических условий районов Кыргызстана, так как конструкции опор должны выдерживать ветровые и гололедные нагрузки.</w:t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342900</wp:posOffset>
            </wp:positionH>
            <wp:positionV relativeFrom="paragraph">
              <wp:posOffset>440055</wp:posOffset>
            </wp:positionV>
            <wp:extent cx="3858895" cy="2576195"/>
            <wp:effectExtent l="0" t="0" r="0" b="0"/>
            <wp:wrapTopAndBottom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fillcolor="#FFFFFF" stroked="f" strokeweight="0pt" style="position:absolute;width:169.7pt;height:11.2pt;mso-wrap-distance-left:9pt;mso-wrap-distance-right:9pt;mso-wrap-distance-top:0pt;mso-wrap-distance-bottom:0pt;margin-top:221.35pt;margin-left:40.1pt">
            <v:textbox inset="0in,0in,0in,0in">
              <w:txbxContent>
                <w:p>
                  <w:pPr>
                    <w:pStyle w:val="Caption"/>
                    <w:spacing w:lineRule="auto" w:line="240" w:before="0" w:after="200"/>
                    <w:rPr/>
                  </w:pPr>
                  <w:r>
                    <w:rPr/>
                    <w:t>Монтаж опоры ЛЭП 500 кВ «Датка-Кемин»</w:t>
                  </w:r>
                </w:p>
              </w:txbxContent>
            </v:textbox>
          </v:rect>
        </w:pict>
      </w:r>
    </w:p>
    <w:p>
      <w:pPr>
        <w:pStyle w:val="Normal"/>
        <w:spacing w:before="0" w:after="0"/>
        <w:ind w:left="0" w:right="0" w:firstLine="851"/>
        <w:jc w:val="both"/>
        <w:rPr>
          <w:sz w:val="28"/>
          <w:szCs w:val="28"/>
          <w:lang w:eastAsia="ru-RU"/>
        </w:rPr>
      </w:pPr>
      <w:r>
        <w:rPr>
          <w:rFonts w:ascii="Times New Roman" w:hAnsi="Times New Roman"/>
        </w:rPr>
        <w:t>Во время строительства линии электропередачи 500 кВ «Датка-Кемин» подрядчикам (компания «ТВЕА») пришлось работать в условиях высокогорья, так как линия проходит по горным перевалам Шалдырак, Каргыш, Тер-Жайлоо, Кырк-Кыз, Кызарт, высота некоторых из них превышает более трех тысяч метров над уровнем моря. Энергостроители столкнулись с проблемой труднодоступности отдельных участков, где непосредственно производились строительство фундаментов под опоры, монтаж самих опор, изоляторов и т.д.</w:t>
      </w:r>
      <w:r>
        <w:rPr>
          <w:sz w:val="28"/>
          <w:szCs w:val="28"/>
          <w:lang w:eastAsia="ru-RU"/>
        </w:rPr>
        <w:t xml:space="preserve"> </w:t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1976120</wp:posOffset>
            </wp:positionH>
            <wp:positionV relativeFrom="paragraph">
              <wp:posOffset>758190</wp:posOffset>
            </wp:positionV>
            <wp:extent cx="2492375" cy="1971040"/>
            <wp:effectExtent l="0" t="0" r="0" b="0"/>
            <wp:wrapSquare wrapText="bothSides"/>
            <wp:docPr id="4" name="Picture" descr="放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放线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0" r="524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fillcolor="#FFFFFF" stroked="f" strokeweight="0pt" style="position:absolute;width:191.5pt;height:13.05pt;mso-wrap-distance-left:9pt;mso-wrap-distance-right:9pt;mso-wrap-distance-top:0pt;mso-wrap-distance-bottom:0pt;margin-top:196.5pt;margin-left:160.25pt">
            <v:textbox inset="0in,0in,0in,0in">
              <w:txbxContent>
                <w:p>
                  <w:pPr>
                    <w:pStyle w:val="Caption"/>
                    <w:spacing w:lineRule="auto" w:line="240" w:before="0" w:after="200"/>
                    <w:rPr/>
                  </w:pPr>
                  <w:r>
                    <w:rPr/>
                    <w:t>Раскатка проводов ЛЭП 500 кВ «Датка-Кемин»</w:t>
                  </w:r>
                </w:p>
              </w:txbxContent>
            </v:textbox>
          </v:rect>
        </w:pict>
      </w:r>
    </w:p>
    <w:p>
      <w:pPr>
        <w:pStyle w:val="Normal"/>
        <w:spacing w:before="0" w:after="0"/>
        <w:ind w:left="0" w:right="0" w:firstLine="851"/>
        <w:jc w:val="both"/>
        <w:rPr>
          <w:lang w:eastAsia="ru-RU"/>
        </w:rPr>
      </w:pPr>
      <w:r>
        <w:rPr>
          <w:rFonts w:ascii="Times New Roman" w:hAnsi="Times New Roman"/>
        </w:rPr>
        <w:t xml:space="preserve">Вес одной опоры № 175 превышает 88 тонн. </w:t>
        <w:tab/>
        <w:t xml:space="preserve">Монтаж 8 опор производился вручную, так </w:t>
      </w:r>
      <w:r>
        <w:rPr>
          <w:rFonts w:ascii="Times New Roman" w:hAnsi="Times New Roman"/>
          <w:color w:val="000000"/>
        </w:rPr>
        <w:t>как не было возможности проложить подъездную дорогу, а для опор № 316 и 317</w:t>
      </w:r>
      <w:r>
        <w:rPr>
          <w:rFonts w:ascii="Verdana" w:hAnsi="Verdana"/>
          <w:color w:val="000000"/>
          <w:shd w:fill="FFFFFF" w:val="clear"/>
        </w:rPr>
        <w:t xml:space="preserve"> </w:t>
      </w:r>
      <w:r>
        <w:rPr>
          <w:rFonts w:ascii="Times New Roman" w:hAnsi="Times New Roman"/>
        </w:rPr>
        <w:t>специально проложили подъездную дорогу по скалистым породам протяженностью около 3 км.</w:t>
      </w:r>
      <w:r>
        <w:rPr>
          <w:lang w:eastAsia="ru-RU"/>
        </w:rPr>
        <w:t xml:space="preserve"> </w:t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2443480</wp:posOffset>
            </wp:positionH>
            <wp:positionV relativeFrom="paragraph">
              <wp:posOffset>661035</wp:posOffset>
            </wp:positionV>
            <wp:extent cx="2024380" cy="1854835"/>
            <wp:effectExtent l="0" t="0" r="0" b="0"/>
            <wp:wrapSquare wrapText="bothSides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0" r="328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0" w:right="0" w:firstLine="851"/>
        <w:jc w:val="both"/>
        <w:rPr>
          <w:lang w:eastAsia="ru-RU"/>
        </w:rPr>
      </w:pPr>
      <w:r>
        <w:rPr>
          <w:rFonts w:ascii="Times New Roman" w:hAnsi="Times New Roman"/>
        </w:rPr>
        <w:t>Для сохранения в целости реликтовых ореховых лесов на территории лесных хозяйств Кызыл-Ункур и Ачы, а также для перетяжки проводов линии электропередачи через реки</w:t>
      </w:r>
      <w:r>
        <w:rPr>
          <w:rStyle w:val="Appleconvertedspace"/>
          <w:rFonts w:cs="Arial" w:ascii="Arial" w:hAnsi="Arial"/>
          <w:color w:val="545454"/>
          <w:shd w:fill="FFFFFF" w:val="clear"/>
        </w:rPr>
        <w:t xml:space="preserve"> </w:t>
      </w:r>
      <w:r>
        <w:rPr>
          <w:rFonts w:ascii="Times New Roman" w:hAnsi="Times New Roman"/>
        </w:rPr>
        <w:t xml:space="preserve">Нарын, Кокомерен и Кара-Суу </w:t>
      </w:r>
      <w:r>
        <w:rPr>
          <w:rFonts w:ascii="Times New Roman" w:hAnsi="Times New Roman"/>
          <w:color w:val="000000"/>
        </w:rPr>
        <w:t>использовали беспилотный летательный аппарат. Такая технология до настоящего времени еще не применялась в отечественном строительстве.</w:t>
      </w:r>
      <w:r>
        <w:rPr>
          <w:lang w:eastAsia="ru-RU"/>
        </w:rPr>
        <w:t xml:space="preserve"> </w:t>
      </w:r>
      <w:r>
        <w:pict>
          <v:rect fillcolor="#FFFFFF" stroked="f" strokeweight="0pt" style="position:absolute;width:148.65pt;height:13.05pt;mso-wrap-distance-left:9pt;mso-wrap-distance-right:9pt;mso-wrap-distance-top:0pt;mso-wrap-distance-bottom:0pt;margin-top:119.45pt;margin-left:203.4pt">
            <v:textbox inset="0in,0in,0in,0in">
              <w:txbxContent>
                <w:p>
                  <w:pPr>
                    <w:pStyle w:val="Caption"/>
                    <w:spacing w:lineRule="auto" w:line="240" w:before="0" w:after="200"/>
                    <w:rPr/>
                  </w:pPr>
                  <w:r>
                    <w:rPr/>
                    <w:t>Беспилотный летательный аппарат</w:t>
                  </w:r>
                </w:p>
              </w:txbxContent>
            </v:textbox>
          </v:rect>
        </w:pict>
      </w:r>
    </w:p>
    <w:p>
      <w:pPr>
        <w:pStyle w:val="Normal"/>
        <w:spacing w:before="0" w:after="0"/>
        <w:ind w:left="0" w:right="0" w:firstLine="85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Стоит отметить, что высота опор линии электропередачи в среднем достигает 45 метров, а на трассе, проходящей через реки или по горной местности,  установлены опоры высотой до 67 метров. Максимальное расстояние  от провода до поверхности земли между пролетами на территории лесхоза Арсланбоб составляет порядка 76 метров, а минимальное расстояние  составляет 11 метров.</w:t>
      </w:r>
    </w:p>
    <w:p>
      <w:pPr>
        <w:pStyle w:val="Normal"/>
        <w:spacing w:before="0" w:after="0"/>
        <w:ind w:left="0" w:right="0" w:firstLine="85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Кроме природных факторов, на пути строительства возникла проблема кражи деталей металлических опор и материалов, что ставило под угрозу срыва сроков строительства. Так как похищенные детали приходилось вновь изготавливать и поставлять из заводов КНР на территорию Кыргызской Республики.</w:t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3810</wp:posOffset>
            </wp:positionH>
            <wp:positionV relativeFrom="paragraph">
              <wp:posOffset>76200</wp:posOffset>
            </wp:positionV>
            <wp:extent cx="2363470" cy="2243455"/>
            <wp:effectExtent l="0" t="0" r="0" b="0"/>
            <wp:wrapSquare wrapText="bothSides"/>
            <wp:docPr id="6" name="Picture" descr="放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放线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0" r="2067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fillcolor="#FFFFFF" stroked="f" strokeweight="0pt" style="position:absolute;width:169.7pt;height:13.05pt;mso-wrap-distance-left:9pt;mso-wrap-distance-right:9pt;mso-wrap-distance-top:0pt;mso-wrap-distance-bottom:0pt;margin-top:164.2pt;margin-left:-187.9pt">
            <v:textbox inset="0in,0in,0in,0in">
              <w:txbxContent>
                <w:p>
                  <w:pPr>
                    <w:pStyle w:val="Caption"/>
                    <w:spacing w:lineRule="auto" w:line="240" w:before="0" w:after="200"/>
                    <w:rPr/>
                  </w:pPr>
                  <w:r>
                    <w:rPr/>
                    <w:t>Монтаж опоры ЛЭП «Датка-Кемин»</w:t>
                  </w:r>
                </w:p>
              </w:txbxContent>
            </v:textbox>
          </v:rect>
        </w:pict>
      </w:r>
    </w:p>
    <w:p>
      <w:pPr>
        <w:pStyle w:val="Normal"/>
        <w:spacing w:before="0" w:after="0"/>
        <w:ind w:left="0" w:right="0" w:firstLine="85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Перекрытие дороги международного значения Ош-Иркештам в мае-июне 2014 года также отрицательно повлияло на сроки поставок оборудования на строительные площадки.</w:t>
        <w:drawing>
          <wp:anchor behindDoc="0" distT="0" distB="0" distL="114300" distR="114300" simplePos="0" locked="0" layoutInCell="1" allowOverlap="1" relativeHeight="1">
            <wp:simplePos x="0" y="0"/>
            <wp:positionH relativeFrom="column">
              <wp:posOffset>57150</wp:posOffset>
            </wp:positionH>
            <wp:positionV relativeFrom="paragraph">
              <wp:posOffset>589915</wp:posOffset>
            </wp:positionV>
            <wp:extent cx="2371725" cy="1562100"/>
            <wp:effectExtent l="0" t="0" r="0" b="0"/>
            <wp:wrapSquare wrapText="bothSides"/>
            <wp:docPr id="7" name="Picture" descr="电缆沟浇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电缆沟浇筑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0" r="0" b="1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2524760</wp:posOffset>
            </wp:positionH>
            <wp:positionV relativeFrom="paragraph">
              <wp:posOffset>589915</wp:posOffset>
            </wp:positionV>
            <wp:extent cx="1940560" cy="1564640"/>
            <wp:effectExtent l="0" t="0" r="0" b="0"/>
            <wp:wrapSquare wrapText="bothSides"/>
            <wp:docPr id="8" name="Picture" descr="设备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设备安装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0" r="725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0" w:right="0"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pict>
          <v:rect fillcolor="#FFFFFF" stroked="f" strokeweight="0pt" style="position:absolute;width:156.6pt;height:9.8pt;mso-wrap-distance-left:9pt;mso-wrap-distance-right:9pt;mso-wrap-distance-top:0pt;mso-wrap-distance-bottom:0pt;margin-top:125.95pt;margin-left:108pt">
            <v:textbox inset="0in,0in,0in,0in">
              <w:txbxContent>
                <w:p>
                  <w:pPr>
                    <w:pStyle w:val="Caption"/>
                    <w:spacing w:lineRule="auto" w:line="240" w:before="0" w:after="200"/>
                    <w:rPr/>
                  </w:pPr>
                  <w:r>
                    <w:rPr/>
                    <w:t>Монтаж оборудования на ПС «Кемин»</w:t>
                  </w:r>
                </w:p>
              </w:txbxContent>
            </v:textbox>
          </v:rect>
        </w:pict>
      </w:r>
    </w:p>
    <w:p>
      <w:pPr>
        <w:pStyle w:val="Normal"/>
        <w:spacing w:before="0" w:after="0"/>
        <w:ind w:left="0" w:right="0"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Своевременное решение проблем, стоявших перед проектировщиками и строителями, обеспечило в установленный срок ввести в работу высоковольтную горную линию электропередачи 500 кВ «Датка-Кемин» протяженностью 405 км, что позволит уже в предстоящий осенне-зимний период 2015-2016 годов более уверенно пройти режим максимальных нагрузок.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Подстанция 500/220 кВ «Кемин» является вторым крупным питающим центром на востоке Чуйской области, где сосредоточены существующие магистральные линии 220 кВ, обеспечивающие электроснабжение Чуйской, Иссык-Кульской, Нарынской областей и связь с энергосистемой Казахстана.</w:t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52070</wp:posOffset>
            </wp:positionH>
            <wp:positionV relativeFrom="paragraph">
              <wp:posOffset>934085</wp:posOffset>
            </wp:positionV>
            <wp:extent cx="4410075" cy="2054225"/>
            <wp:effectExtent l="0" t="0" r="0" b="0"/>
            <wp:wrapTopAndBottom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0" r="0" b="1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fillcolor="#FFFFFF" stroked="f" strokeweight="0pt" style="position:absolute;width:115.45pt;height:12.6pt;mso-wrap-distance-left:9pt;mso-wrap-distance-right:9pt;mso-wrap-distance-top:0pt;mso-wrap-distance-bottom:0pt;margin-top:218.8pt;margin-left:227.75pt">
            <v:textbox inset="0in,0in,0in,0in">
              <w:txbxContent>
                <w:p>
                  <w:pPr>
                    <w:pStyle w:val="Caption"/>
                    <w:spacing w:lineRule="auto" w:line="240" w:before="0" w:after="200"/>
                    <w:rPr/>
                  </w:pPr>
                  <w:r>
                    <w:rPr/>
                    <w:t>Подстанция 500 кВ «Кемин»</w:t>
                  </w:r>
                </w:p>
              </w:txbxContent>
            </v:textbox>
          </v:rect>
        </w:pict>
      </w:r>
    </w:p>
    <w:p>
      <w:pPr>
        <w:pStyle w:val="Normal"/>
        <w:spacing w:before="0" w:after="0"/>
        <w:ind w:left="0" w:right="0" w:firstLine="708"/>
        <w:jc w:val="both"/>
        <w:rPr>
          <w:rFonts w:ascii="Times New Roman" w:hAnsi="Times New Roman"/>
          <w:spacing w:val="-2"/>
        </w:rPr>
      </w:pPr>
      <w:r>
        <w:rPr>
          <w:rFonts w:ascii="Times New Roman" w:hAnsi="Times New Roman"/>
        </w:rPr>
        <w:t xml:space="preserve">С завершением строительства линии электропередачи 500 кВ «Датка-Кемин» создано собственное внутреннее энергокольцо 500/220 кВ, которое позволило обеспечить надежность электроснабжения потребителей севера Кыргызской Республики, расширить рынок сбыта электроэнергии, обеспечило энергобезопасность и энергонезависимость от транзита электроэнергии через сети энергосистем других государств для собственного </w:t>
      </w:r>
      <w:r>
        <w:rPr>
          <w:rFonts w:ascii="Times New Roman" w:hAnsi="Times New Roman"/>
          <w:spacing w:val="-2"/>
        </w:rPr>
        <w:t>потребления, выработанной на электростанциях юга                    Кыргызской Республики.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4445</wp:posOffset>
            </wp:positionH>
            <wp:positionV relativeFrom="paragraph">
              <wp:posOffset>180975</wp:posOffset>
            </wp:positionV>
            <wp:extent cx="4490720" cy="2691765"/>
            <wp:effectExtent l="0" t="0" r="0" b="0"/>
            <wp:wrapTopAndBottom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0" r="2368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fillcolor="#FFFFFF" stroked="f" strokeweight="0pt" style="position:absolute;width:109.5pt;height:12.6pt;mso-wrap-distance-left:9pt;mso-wrap-distance-right:9pt;mso-wrap-distance-top:0pt;mso-wrap-distance-bottom:0pt;margin-top:212.05pt;margin-left:242.7pt">
            <v:textbox inset="0in,0in,0in,0in">
              <w:txbxContent>
                <w:p>
                  <w:pPr>
                    <w:pStyle w:val="Caption"/>
                    <w:spacing w:lineRule="auto" w:line="240" w:before="0" w:after="200"/>
                    <w:rPr/>
                  </w:pPr>
                  <w:r>
                    <w:rPr/>
                    <w:t>ЛЭП 500 кВ «Датка-Кемин»</w:t>
                  </w:r>
                </w:p>
              </w:txbxContent>
            </v:textbox>
          </v:rect>
        </w:pict>
      </w:r>
    </w:p>
    <w:p>
      <w:pPr>
        <w:pStyle w:val="Normal"/>
        <w:spacing w:lineRule="auto" w:line="292" w:before="0" w:after="0"/>
        <w:ind w:left="0" w:right="0" w:firstLine="708"/>
        <w:jc w:val="both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Компания «ТВЕА» (КНР) и ОАО «НЭС Кыргызстана» уверены в том, что построенные энергобъекты будут надежно работать на благо процветания экономики Кыргызстана и укрепление дружбы между КНР и Кыргызстаном. 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pageBreakBefore/>
        <w:spacing w:lineRule="auto" w:line="273"/>
        <w:ind w:left="0" w:right="0" w:firstLine="708"/>
        <w:jc w:val="both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ОАО «Национальная электрическая сеть Кыргызстана» – является энергетической компанией, которая транспортирует электрическую энергию, выработанную электростанциями, по высоковольтным сетям по всей республике до распределительных компаний и крупных промышленных потребителей. </w:t>
      </w:r>
    </w:p>
    <w:p>
      <w:pPr>
        <w:pStyle w:val="Normal"/>
        <w:spacing w:lineRule="auto" w:line="273"/>
        <w:ind w:left="0" w:right="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Задача ОАО «НЭС Кыргызстана» – осуществление передачи электроэнергии по национальной электрической сети напряжением 110/500 кВ для субъектов рынка, оперативно-диспетчерское управление сетью и режимами межгосударственных и внутриреспубликанских перетоков электрической энергии и мощности.</w:t>
      </w:r>
    </w:p>
    <w:p>
      <w:pPr>
        <w:pStyle w:val="Normal"/>
        <w:spacing w:lineRule="auto" w:line="273" w:before="0" w:after="0"/>
        <w:ind w:left="0" w:right="0" w:firstLine="709"/>
        <w:jc w:val="both"/>
        <w:rPr/>
      </w:pPr>
      <w:r>
        <w:rPr/>
        <w:drawing>
          <wp:inline distT="0" distB="0" distL="0" distR="0">
            <wp:extent cx="4246245" cy="2406650"/>
            <wp:effectExtent l="0" t="0" r="0" b="0"/>
            <wp:docPr id="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>
      <w:pPr>
        <w:pStyle w:val="Normal"/>
        <w:spacing w:lineRule="auto" w:line="273" w:before="240" w:after="0"/>
        <w:ind w:left="0" w:right="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ОАО «Национальная электрическая сеть Кыргызстана» имеет связь с государствами Центральной Азии по магистральным сетям 110/500 кВ и работает в едином энергетическом режиме. Выработанная электроэнергия с юга Кыргызстана поступает в электросети Узбекистана, Казахстана образуя единое энергетическое кольцо.</w:t>
      </w:r>
    </w:p>
    <w:p>
      <w:pPr>
        <w:pStyle w:val="Normal"/>
        <w:spacing w:lineRule="auto" w:line="273" w:before="240" w:after="0"/>
        <w:ind w:left="0" w:righ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Филиалы ОАО «НЭС Кыргызстана»:</w:t>
      </w:r>
    </w:p>
    <w:p>
      <w:pPr>
        <w:pStyle w:val="ListParagraph"/>
        <w:numPr>
          <w:ilvl w:val="0"/>
          <w:numId w:val="1"/>
        </w:numPr>
        <w:spacing w:lineRule="auto" w:line="273" w:before="0" w:after="0"/>
        <w:ind w:left="284" w:right="0" w:hanging="360"/>
        <w:jc w:val="both"/>
        <w:rPr>
          <w:rFonts w:eastAsia="Calibri" w:ascii="Times New Roman" w:hAnsi="Times New Roman"/>
          <w:lang w:eastAsia="en-US"/>
        </w:rPr>
      </w:pPr>
      <w:r>
        <w:rPr>
          <w:rFonts w:eastAsia="Calibri" w:ascii="Times New Roman" w:hAnsi="Times New Roman"/>
          <w:lang w:eastAsia="en-US"/>
        </w:rPr>
        <w:t>Чуйское предприятие высоковольтных электрических сетей;</w:t>
      </w:r>
    </w:p>
    <w:p>
      <w:pPr>
        <w:pStyle w:val="ListParagraph"/>
        <w:numPr>
          <w:ilvl w:val="0"/>
          <w:numId w:val="1"/>
        </w:numPr>
        <w:spacing w:lineRule="auto" w:line="273" w:before="240" w:after="0"/>
        <w:ind w:left="284" w:right="0" w:hanging="360"/>
        <w:jc w:val="both"/>
        <w:rPr>
          <w:rFonts w:eastAsia="Calibri" w:ascii="Times New Roman" w:hAnsi="Times New Roman"/>
          <w:lang w:eastAsia="en-US"/>
        </w:rPr>
      </w:pPr>
      <w:r>
        <w:rPr>
          <w:rFonts w:eastAsia="Calibri" w:ascii="Times New Roman" w:hAnsi="Times New Roman"/>
          <w:lang w:eastAsia="en-US"/>
        </w:rPr>
        <w:t>Таласское предприятие высоковольтных электрических сетей;</w:t>
      </w:r>
    </w:p>
    <w:p>
      <w:pPr>
        <w:pStyle w:val="ListParagraph"/>
        <w:numPr>
          <w:ilvl w:val="0"/>
          <w:numId w:val="1"/>
        </w:numPr>
        <w:spacing w:lineRule="auto" w:line="273" w:before="240" w:after="0"/>
        <w:ind w:left="284" w:right="0" w:hanging="360"/>
        <w:jc w:val="both"/>
        <w:rPr>
          <w:rFonts w:eastAsia="Calibri" w:ascii="Times New Roman" w:hAnsi="Times New Roman"/>
          <w:lang w:eastAsia="en-US"/>
        </w:rPr>
      </w:pPr>
      <w:r>
        <w:rPr>
          <w:rFonts w:eastAsia="Calibri" w:ascii="Times New Roman" w:hAnsi="Times New Roman"/>
          <w:lang w:eastAsia="en-US"/>
        </w:rPr>
        <w:t>Нарынское  предприятие высоковольтных электрических сетей;</w:t>
      </w:r>
    </w:p>
    <w:p>
      <w:pPr>
        <w:pStyle w:val="ListParagraph"/>
        <w:numPr>
          <w:ilvl w:val="0"/>
          <w:numId w:val="1"/>
        </w:numPr>
        <w:spacing w:lineRule="auto" w:line="273" w:before="240" w:after="0"/>
        <w:ind w:left="284" w:right="0" w:hanging="360"/>
        <w:jc w:val="both"/>
        <w:rPr>
          <w:rFonts w:eastAsia="Calibri" w:ascii="Times New Roman" w:hAnsi="Times New Roman"/>
          <w:lang w:eastAsia="en-US"/>
        </w:rPr>
      </w:pPr>
      <w:r>
        <w:rPr>
          <w:rFonts w:eastAsia="Calibri" w:ascii="Times New Roman" w:hAnsi="Times New Roman"/>
          <w:lang w:eastAsia="en-US"/>
        </w:rPr>
        <w:t>Иссык-Кульское предприятие высоковольтных электрических сетей;</w:t>
      </w:r>
    </w:p>
    <w:p>
      <w:pPr>
        <w:pStyle w:val="ListParagraph"/>
        <w:numPr>
          <w:ilvl w:val="0"/>
          <w:numId w:val="1"/>
        </w:numPr>
        <w:spacing w:lineRule="auto" w:line="273" w:before="240" w:after="0"/>
        <w:ind w:left="284" w:right="0" w:hanging="360"/>
        <w:jc w:val="both"/>
        <w:rPr>
          <w:rFonts w:eastAsia="Calibri" w:ascii="Times New Roman" w:hAnsi="Times New Roman"/>
          <w:lang w:eastAsia="en-US"/>
        </w:rPr>
      </w:pPr>
      <w:r>
        <w:rPr>
          <w:rFonts w:eastAsia="Calibri" w:ascii="Times New Roman" w:hAnsi="Times New Roman"/>
          <w:lang w:eastAsia="en-US"/>
        </w:rPr>
        <w:t>Ошское предприятие высоковольтных электрических сетей;</w:t>
      </w:r>
    </w:p>
    <w:p>
      <w:pPr>
        <w:pStyle w:val="ListParagraph"/>
        <w:numPr>
          <w:ilvl w:val="0"/>
          <w:numId w:val="1"/>
        </w:numPr>
        <w:spacing w:lineRule="auto" w:line="273" w:before="240" w:after="0"/>
        <w:ind w:left="284" w:right="0" w:hanging="360"/>
        <w:jc w:val="both"/>
        <w:rPr>
          <w:rFonts w:eastAsia="Calibri" w:ascii="Times New Roman" w:hAnsi="Times New Roman"/>
          <w:lang w:eastAsia="en-US"/>
        </w:rPr>
      </w:pPr>
      <w:r>
        <w:rPr>
          <w:rFonts w:eastAsia="Calibri" w:ascii="Times New Roman" w:hAnsi="Times New Roman"/>
          <w:lang w:eastAsia="en-US"/>
        </w:rPr>
        <w:t>Жалал-Абадское предприятие высоковольтных электрических сетей;</w:t>
      </w:r>
    </w:p>
    <w:p>
      <w:pPr>
        <w:pStyle w:val="ListParagraph"/>
        <w:numPr>
          <w:ilvl w:val="0"/>
          <w:numId w:val="1"/>
        </w:numPr>
        <w:spacing w:lineRule="auto" w:line="273" w:before="240" w:after="0"/>
        <w:ind w:left="284" w:right="0" w:hanging="360"/>
        <w:jc w:val="both"/>
        <w:rPr>
          <w:rFonts w:eastAsia="Calibri" w:ascii="Times New Roman" w:hAnsi="Times New Roman"/>
          <w:lang w:eastAsia="en-US"/>
        </w:rPr>
      </w:pPr>
      <w:r>
        <w:rPr>
          <w:rFonts w:eastAsia="Calibri" w:ascii="Times New Roman" w:hAnsi="Times New Roman"/>
          <w:lang w:eastAsia="en-US"/>
        </w:rPr>
        <w:t>Учебный центр.</w:t>
      </w:r>
    </w:p>
    <w:p>
      <w:pPr>
        <w:pStyle w:val="Normal"/>
        <w:spacing w:before="240" w:after="0"/>
        <w:ind w:left="0" w:right="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Все эти филиалы оперативно управляются центральной диспетчерской службой, которая расположена в головном офисе ОАО «НЭС Кыргызстана».</w:t>
      </w:r>
    </w:p>
    <w:p>
      <w:pPr>
        <w:pStyle w:val="Normal"/>
        <w:spacing w:before="0" w:after="0"/>
        <w:jc w:val="center"/>
        <w:rPr>
          <w:rFonts w:cs="Arial" w:ascii="Arial" w:hAnsi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before="0" w:after="0"/>
        <w:jc w:val="center"/>
        <w:rPr>
          <w:rFonts w:cs="Arial" w:ascii="Arial" w:hAnsi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Количество подстанций ОАО «НЭС Кыргызстана» </w:t>
      </w:r>
    </w:p>
    <w:p>
      <w:pPr>
        <w:sectPr>
          <w:type w:val="nextPage"/>
          <w:pgSz w:w="8391" w:h="11906"/>
          <w:pgMar w:left="680" w:right="680" w:header="0" w:top="1247" w:footer="0" w:bottom="510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keepNext/>
        <w:spacing w:before="0" w:after="0"/>
        <w:jc w:val="center"/>
        <w:rPr/>
      </w:pPr>
      <w:r>
        <w:rPr/>
        <w:drawing>
          <wp:inline distT="0" distB="0" distL="0" distR="0">
            <wp:extent cx="4246880" cy="2407285"/>
            <wp:effectExtent l="0" t="0" r="0" b="0"/>
            <wp:docPr id="1" name="Diagram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>
      <w:pPr>
        <w:pStyle w:val="Normal"/>
        <w:spacing w:lineRule="auto" w:line="247" w:before="0" w:after="0"/>
        <w:ind w:left="0" w:right="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Tebian Electric Appartus Co LTD (компания «ТВЕА») - является одним из ведущих предприятий по производству крупного оборудования в Китае и предприятием строительства комплексных энергообъектов международного уровня на условиях генерального подряда. Компания «ТВЕА» имеет единственную государственную инженерную лабораторию спецвысоковольтной трансформации и является главным поставщиком трансформаторов для ядерной электростанции Китая.</w:t>
      </w:r>
    </w:p>
    <w:p>
      <w:pPr>
        <w:pStyle w:val="Normal"/>
        <w:spacing w:lineRule="auto" w:line="247" w:before="0" w:after="0"/>
        <w:ind w:left="0" w:right="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Компания «ТВЕА»  - одна из крупнейших:</w:t>
      </w:r>
    </w:p>
    <w:p>
      <w:pPr>
        <w:pStyle w:val="1"/>
        <w:numPr>
          <w:ilvl w:val="0"/>
          <w:numId w:val="2"/>
        </w:numPr>
        <w:spacing w:lineRule="auto" w:line="247" w:before="0" w:after="0"/>
        <w:ind w:left="220" w:right="0" w:hanging="360"/>
        <w:jc w:val="both"/>
        <w:rPr>
          <w:rFonts w:ascii="Times New Roman" w:hAnsi="Times New Roman"/>
          <w:lang w:val="ru-RU" w:eastAsia="en-US"/>
        </w:rPr>
      </w:pPr>
      <w:r>
        <w:rPr>
          <w:rFonts w:ascii="Times New Roman" w:hAnsi="Times New Roman"/>
          <w:lang w:val="ru-RU" w:eastAsia="en-US"/>
        </w:rPr>
        <w:t>поставщиков трансформаторов по всему миру;</w:t>
      </w:r>
    </w:p>
    <w:p>
      <w:pPr>
        <w:pStyle w:val="1"/>
        <w:numPr>
          <w:ilvl w:val="0"/>
          <w:numId w:val="2"/>
        </w:numPr>
        <w:spacing w:lineRule="auto" w:line="247" w:before="0" w:after="0"/>
        <w:ind w:left="220" w:right="0" w:hanging="360"/>
        <w:jc w:val="both"/>
        <w:rPr>
          <w:rFonts w:ascii="Times New Roman" w:hAnsi="Times New Roman"/>
          <w:lang w:val="ru-RU" w:eastAsia="en-US"/>
        </w:rPr>
      </w:pPr>
      <w:r>
        <w:rPr>
          <w:rFonts w:ascii="Times New Roman" w:hAnsi="Times New Roman"/>
          <w:lang w:val="ru-RU" w:eastAsia="en-US"/>
        </w:rPr>
        <w:t>экспортных и разрабатывающих предприятий продукции высоковольтных электропроводов и кабелей в Китае;</w:t>
      </w:r>
    </w:p>
    <w:p>
      <w:pPr>
        <w:pStyle w:val="1"/>
        <w:numPr>
          <w:ilvl w:val="0"/>
          <w:numId w:val="2"/>
        </w:numPr>
        <w:spacing w:lineRule="auto" w:line="247" w:before="0" w:after="0"/>
        <w:ind w:left="220" w:right="0" w:hanging="360"/>
        <w:jc w:val="both"/>
        <w:rPr>
          <w:rFonts w:ascii="Times New Roman" w:hAnsi="Times New Roman"/>
          <w:lang w:val="ru-RU" w:eastAsia="en-US"/>
        </w:rPr>
      </w:pPr>
      <w:r>
        <w:rPr>
          <w:rFonts w:ascii="Times New Roman" w:hAnsi="Times New Roman"/>
          <w:lang w:val="ru-RU" w:eastAsia="en-US"/>
        </w:rPr>
        <w:t>предприятий по производству новых электронных материалов в Китае;</w:t>
      </w:r>
    </w:p>
    <w:p>
      <w:pPr>
        <w:pStyle w:val="1"/>
        <w:numPr>
          <w:ilvl w:val="0"/>
          <w:numId w:val="2"/>
        </w:numPr>
        <w:spacing w:lineRule="auto" w:line="247" w:before="0" w:after="0"/>
        <w:ind w:left="220" w:right="0" w:hanging="360"/>
        <w:jc w:val="both"/>
        <w:rPr>
          <w:rFonts w:ascii="Times New Roman" w:hAnsi="Times New Roman"/>
          <w:lang w:val="ru-RU" w:eastAsia="en-US"/>
        </w:rPr>
      </w:pPr>
      <w:r>
        <w:rPr>
          <w:rFonts w:ascii="Times New Roman" w:hAnsi="Times New Roman"/>
          <w:lang w:val="ru-RU" w:eastAsia="en-US"/>
        </w:rPr>
        <w:t>корпораций по сборке и поставке системы гелиоэнергии в Китае.</w:t>
      </w:r>
    </w:p>
    <w:p>
      <w:pPr>
        <w:pStyle w:val="Normal"/>
        <w:spacing w:lineRule="auto" w:line="247" w:before="0" w:after="0"/>
        <w:ind w:left="360" w:right="0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1"/>
        <w:spacing w:lineRule="auto" w:line="240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4470400" cy="2316480"/>
            <wp:effectExtent l="0" t="0" r="0" b="0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2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Один из заводов компании «ТВЕА»</w:t>
      </w:r>
    </w:p>
    <w:p>
      <w:pPr>
        <w:pStyle w:val="Normal"/>
        <w:spacing w:lineRule="auto" w:line="240" w:before="120"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47"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Комания «ТВЕА» создала 14 современных производственных зон в СУАР, провинциях  СыЧуань, ХуНань, ТяньЦзинь, Шаньдун, ЛяоНин, ШаньСи, Шанхае, Пекине и т.д. В настоящее время строится производственная база в Индии. Компания «ТВЕА» учредила 42 зарубежных представительства в США, Казахстане, Индии, Российской Федерации, Кыргызстане и других странах мира. </w:t>
      </w:r>
    </w:p>
    <w:p>
      <w:pPr>
        <w:pStyle w:val="Normal"/>
        <w:spacing w:lineRule="auto" w:line="247"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Производственная мощность автотрансформаторов копании «ТВЕА» достигла 266 млн. кВА и занимает первое место в мире.</w:t>
      </w:r>
    </w:p>
    <w:p>
      <w:pPr>
        <w:pStyle w:val="Normal"/>
        <w:spacing w:lineRule="auto" w:line="247"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Компания «ТВЕА» занимает 317 место из 500 крупнейших предприятий по производству энергооборудования в мире, 154 место из 500 топовых предприятий в Китае, а также 8 место из 100 ведущих предприятий по производству энергооборудования в Китае.</w:t>
      </w:r>
    </w:p>
    <w:p>
      <w:pPr>
        <w:pStyle w:val="Normal"/>
        <w:spacing w:lineRule="auto" w:line="247"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Продукция электропередачи компании «ТВЕА» применяется в энергопроектах в 31 провинциях Китайской Народной Республики и в более 60-ти странах мира, таких как США, РФ, Индия, Кыргызстан и т.д. </w:t>
      </w:r>
    </w:p>
    <w:p>
      <w:pPr>
        <w:pStyle w:val="Normal"/>
        <w:spacing w:lineRule="auto" w:line="247" w:before="0" w:after="0"/>
        <w:ind w:left="0" w:righ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Кроме этого компания «ТВЕА»: </w:t>
      </w:r>
    </w:p>
    <w:p>
      <w:pPr>
        <w:pStyle w:val="Normal"/>
        <w:numPr>
          <w:ilvl w:val="0"/>
          <w:numId w:val="3"/>
        </w:numPr>
        <w:spacing w:lineRule="auto" w:line="247" w:before="0" w:after="0"/>
        <w:ind w:left="284" w:right="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имеет экологическую производственную базу;</w:t>
      </w:r>
    </w:p>
    <w:p>
      <w:pPr>
        <w:pStyle w:val="1"/>
        <w:numPr>
          <w:ilvl w:val="0"/>
          <w:numId w:val="3"/>
        </w:numPr>
        <w:spacing w:lineRule="auto" w:line="247" w:before="0" w:after="0"/>
        <w:ind w:left="220" w:right="0" w:hanging="360"/>
        <w:jc w:val="both"/>
        <w:rPr>
          <w:rFonts w:ascii="Times New Roman" w:hAnsi="Times New Roman"/>
          <w:lang w:val="ru-RU" w:eastAsia="en-US"/>
        </w:rPr>
      </w:pPr>
      <w:r>
        <w:rPr>
          <w:rFonts w:ascii="Times New Roman" w:hAnsi="Times New Roman"/>
          <w:lang w:val="ru-RU" w:eastAsia="en-US"/>
        </w:rPr>
        <w:t>производит высокотехнологическое оборудование, способствующее развитию мировой экономики;</w:t>
      </w:r>
    </w:p>
    <w:p>
      <w:pPr>
        <w:pStyle w:val="1"/>
        <w:numPr>
          <w:ilvl w:val="0"/>
          <w:numId w:val="3"/>
        </w:numPr>
        <w:spacing w:lineRule="auto" w:line="247" w:before="0" w:after="0"/>
        <w:ind w:left="220" w:right="0" w:hanging="360"/>
        <w:jc w:val="both"/>
        <w:rPr>
          <w:rFonts w:ascii="Times New Roman" w:hAnsi="Times New Roman"/>
          <w:lang w:val="ru-RU" w:eastAsia="en-US"/>
        </w:rPr>
      </w:pPr>
      <w:r>
        <w:rPr>
          <w:rFonts w:ascii="Times New Roman" w:hAnsi="Times New Roman"/>
          <w:lang w:val="ru-RU" w:eastAsia="en-US"/>
        </w:rPr>
        <w:t>всегда стремится к экологической науке, интеллектуальной технологии и охране окружающей среды, надежности и эффективности;</w:t>
      </w:r>
    </w:p>
    <w:p>
      <w:pPr>
        <w:pStyle w:val="1"/>
        <w:numPr>
          <w:ilvl w:val="0"/>
          <w:numId w:val="3"/>
        </w:numPr>
        <w:spacing w:lineRule="auto" w:line="247" w:before="0" w:after="0"/>
        <w:ind w:left="220" w:right="0" w:hanging="360"/>
        <w:jc w:val="both"/>
        <w:rPr>
          <w:rFonts w:ascii="Times New Roman" w:hAnsi="Times New Roman"/>
          <w:lang w:val="ru-RU" w:eastAsia="en-US"/>
        </w:rPr>
      </w:pPr>
      <w:r>
        <w:rPr>
          <w:rFonts w:ascii="Times New Roman" w:hAnsi="Times New Roman"/>
          <w:lang w:val="ru-RU" w:eastAsia="en-US"/>
        </w:rPr>
        <w:t>обслуживает строительство электросети сверхвысокого напряжения путем экономии энергии и повышения эффективности;</w:t>
      </w:r>
    </w:p>
    <w:p>
      <w:pPr>
        <w:pStyle w:val="1"/>
        <w:numPr>
          <w:ilvl w:val="0"/>
          <w:numId w:val="3"/>
        </w:numPr>
        <w:spacing w:lineRule="auto" w:line="247" w:before="0" w:after="0"/>
        <w:ind w:left="220" w:right="0" w:hanging="360"/>
        <w:jc w:val="both"/>
        <w:rPr>
          <w:rFonts w:ascii="Times New Roman" w:hAnsi="Times New Roman"/>
          <w:lang w:val="ru-RU" w:eastAsia="en-US"/>
        </w:rPr>
      </w:pPr>
      <w:r>
        <w:rPr>
          <w:rFonts w:ascii="Times New Roman" w:hAnsi="Times New Roman"/>
          <w:lang w:val="ru-RU" w:eastAsia="en-US"/>
        </w:rPr>
        <w:t>обслуживает крупные проекты ГЭС с использованием надежных технологий;</w:t>
      </w:r>
    </w:p>
    <w:p>
      <w:pPr>
        <w:pStyle w:val="1"/>
        <w:numPr>
          <w:ilvl w:val="0"/>
          <w:numId w:val="3"/>
        </w:numPr>
        <w:spacing w:lineRule="auto" w:line="247" w:before="0" w:after="0"/>
        <w:ind w:left="220" w:right="0" w:hanging="360"/>
        <w:jc w:val="both"/>
        <w:rPr>
          <w:rFonts w:ascii="Times New Roman" w:hAnsi="Times New Roman"/>
          <w:lang w:val="ru-RU" w:eastAsia="en-US"/>
        </w:rPr>
      </w:pPr>
      <w:r>
        <w:rPr>
          <w:rFonts w:ascii="Times New Roman" w:hAnsi="Times New Roman"/>
          <w:lang w:val="ru-RU" w:eastAsia="en-US"/>
        </w:rPr>
        <w:t>строит промышленные цепи;</w:t>
      </w:r>
    </w:p>
    <w:p>
      <w:pPr>
        <w:pStyle w:val="1"/>
        <w:numPr>
          <w:ilvl w:val="0"/>
          <w:numId w:val="3"/>
        </w:numPr>
        <w:spacing w:lineRule="auto" w:line="247" w:before="0" w:after="0"/>
        <w:ind w:left="220" w:right="0" w:hanging="360"/>
        <w:jc w:val="both"/>
        <w:rPr>
          <w:rFonts w:ascii="Times New Roman" w:hAnsi="Times New Roman"/>
          <w:lang w:val="ru-RU" w:eastAsia="en-US"/>
        </w:rPr>
      </w:pPr>
      <w:bookmarkStart w:id="0" w:name="_GoBack"/>
      <w:bookmarkEnd w:id="0"/>
      <w:r>
        <w:rPr>
          <w:rFonts w:ascii="Times New Roman" w:hAnsi="Times New Roman"/>
          <w:lang w:val="ru-RU" w:eastAsia="en-US"/>
        </w:rPr>
        <w:t>оказывает услуги для строительства основной электросети Таджикистана;</w:t>
      </w:r>
    </w:p>
    <w:p>
      <w:pPr>
        <w:pStyle w:val="1"/>
        <w:numPr>
          <w:ilvl w:val="0"/>
          <w:numId w:val="3"/>
        </w:numPr>
        <w:spacing w:lineRule="auto" w:line="247" w:before="0" w:after="0"/>
        <w:ind w:left="220" w:right="0" w:hanging="360"/>
        <w:jc w:val="both"/>
        <w:rPr>
          <w:rFonts w:ascii="Times New Roman" w:hAnsi="Times New Roman"/>
          <w:lang w:val="ru-RU" w:eastAsia="en-US"/>
        </w:rPr>
      </w:pPr>
      <w:r>
        <w:rPr>
          <w:rFonts w:ascii="Times New Roman" w:hAnsi="Times New Roman"/>
          <w:lang w:val="ru-RU" w:eastAsia="en-US"/>
        </w:rPr>
        <w:t>построила энергетические объекты в Судане;</w:t>
      </w:r>
    </w:p>
    <w:p>
      <w:pPr>
        <w:pStyle w:val="1"/>
        <w:numPr>
          <w:ilvl w:val="0"/>
          <w:numId w:val="3"/>
        </w:numPr>
        <w:spacing w:lineRule="auto" w:line="247" w:before="0" w:after="0"/>
        <w:ind w:left="220" w:right="0" w:hanging="360"/>
        <w:jc w:val="both"/>
        <w:rPr>
          <w:rFonts w:ascii="Times New Roman" w:hAnsi="Times New Roman"/>
          <w:lang w:val="ru-RU" w:eastAsia="en-US"/>
        </w:rPr>
      </w:pPr>
      <w:r>
        <w:rPr>
          <w:rFonts w:ascii="Times New Roman" w:hAnsi="Times New Roman"/>
          <w:lang w:val="ru-RU" w:eastAsia="en-US"/>
        </w:rPr>
        <w:t>в настоящее время успешно реализовала проект по строительству подстанций 500 кВ «Датка», «Кемин», линии электропередачи 500 кВ «Датка-Кемин» и продолжает реализацию проекта «Модернизация ТЭЦ г. Бишкек».</w:t>
      </w:r>
    </w:p>
    <w:p>
      <w:pPr>
        <w:pStyle w:val="1"/>
        <w:spacing w:lineRule="auto" w:line="240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4500880" cy="1594485"/>
            <wp:effectExtent l="0" t="0" r="0" b="0"/>
            <wp:docPr id="12" name="Picture" descr="特变电工总部商务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特变电工总部商务区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148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20" w:after="0"/>
        <w:jc w:val="center"/>
        <w:rPr>
          <w:rFonts w:eastAsia="SimSun"/>
        </w:rPr>
      </w:pPr>
      <w:r>
        <w:rPr>
          <w:rFonts w:eastAsia="SimSun"/>
        </w:rPr>
        <w:t>Научно-исследовательская база в главном офисе компании «ТВЕА» в СУАР</w:t>
      </w:r>
      <w:r>
        <w:pict>
          <v:rect fillcolor="#FFFFFF" stroked="f" strokeweight="0pt" style="position:absolute;width:168.3pt;height:9.8pt;mso-wrap-distance-left:9pt;mso-wrap-distance-right:9pt;mso-wrap-distance-top:0pt;mso-wrap-distance-bottom:0pt;margin-top:342.85pt;margin-left:191.65pt">
            <v:textbox inset="0in,0in,0in,0in">
              <w:txbxContent>
                <w:p>
                  <w:pPr>
                    <w:pStyle w:val="Caption"/>
                    <w:spacing w:lineRule="auto" w:line="240" w:before="0" w:after="200"/>
                    <w:rPr/>
                  </w:pPr>
                  <w:r>
                    <w:rPr/>
                    <w:t xml:space="preserve"> </w:t>
                  </w:r>
                  <w:r>
                    <w:rPr/>
                    <w:t>Испытание оборудования на ПС «Кемин»</w:t>
                  </w:r>
                </w:p>
              </w:txbxContent>
            </v:textbox>
          </v:rect>
        </w:pict>
      </w:r>
    </w:p>
    <w:sectPr>
      <w:type w:val="nextPage"/>
      <w:pgSz w:w="8391" w:h="11906"/>
      <w:pgMar w:left="680" w:right="680" w:header="0" w:top="1247" w:footer="0" w:bottom="51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Verdana">
    <w:charset w:val="01"/>
    <w:family w:val="roman"/>
    <w:pitch w:val="variable"/>
  </w:font>
  <w:font w:name="Arial"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8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ru-RU" w:eastAsia="en-US" w:bidi="ar-SA"/>
      </w:rPr>
    </w:rPrDefault>
    <w:pPrDefault>
      <w:pPr>
        <w:spacing w:lineRule="auto" w:line="256"/>
      </w:pPr>
    </w:pPrDefault>
  </w:docDefaults>
  <w:latentStyles w:defUnhideWhenUsed="0" w:count="371" w:defQFormat="0" w:defSemiHidden="0" w:defUIPriority="99" w:defLockedState="0">
    <w:lsdException w:qFormat="1" w:uiPriority="0" w:name="Normal"/>
    <w:lsdException w:qFormat="1" w:uiPriority="9" w:name="heading 1"/>
    <w:lsdException w:qFormat="1" w:unhideWhenUsed="1" w:uiPriority="9" w:semiHidden="1" w:name="heading 2"/>
    <w:lsdException w:qFormat="1" w:unhideWhenUsed="1" w:uiPriority="9" w:semiHidden="1" w:name="heading 3"/>
    <w:lsdException w:qFormat="1" w:unhideWhenUsed="1" w:uiPriority="9" w:semiHidden="1" w:name="heading 4"/>
    <w:lsdException w:qFormat="1" w:unhideWhenUsed="1" w:uiPriority="9" w:semiHidden="1" w:name="heading 5"/>
    <w:lsdException w:qFormat="1" w:unhideWhenUsed="1" w:uiPriority="9" w:semiHidden="1" w:name="heading 6"/>
    <w:lsdException w:qFormat="1" w:unhideWhenUsed="1" w:uiPriority="9" w:semiHidden="1" w:name="heading 7"/>
    <w:lsdException w:qFormat="1" w:unhideWhenUsed="1" w:uiPriority="9" w:semiHidden="1" w:name="heading 8"/>
    <w:lsdException w:qFormat="1" w:unhideWhenUsed="1" w:uiPriority="9" w:semiHidden="1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uiPriority="39" w:semiHidden="1" w:name="toc 1"/>
    <w:lsdException w:unhideWhenUsed="1" w:uiPriority="39" w:semiHidden="1" w:name="toc 2"/>
    <w:lsdException w:unhideWhenUsed="1" w:uiPriority="39" w:semiHidden="1" w:name="toc 3"/>
    <w:lsdException w:unhideWhenUsed="1" w:uiPriority="39" w:semiHidden="1" w:name="toc 4"/>
    <w:lsdException w:unhideWhenUsed="1" w:uiPriority="39" w:semiHidden="1" w:name="toc 5"/>
    <w:lsdException w:unhideWhenUsed="1" w:uiPriority="39" w:semiHidden="1" w:name="toc 6"/>
    <w:lsdException w:unhideWhenUsed="1" w:uiPriority="39" w:semiHidden="1" w:name="toc 7"/>
    <w:lsdException w:unhideWhenUsed="1" w:uiPriority="39" w:semiHidden="1" w:name="toc 8"/>
    <w:lsdException w:unhideWhenUsed="1" w:uiPriority="39" w:semiHidden="1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qFormat="1" w:unhideWhenUsed="1" w:uiPriority="35" w:semiHidden="1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uiPriority="1" w:semiHidden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3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uiPriority="37" w:semiHidden="1" w:name="Bibliography"/>
    <w:lsdException w:qFormat="1" w:unhideWhenUsed="1" w:uiPriority="39" w:semiHidden="1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qFormat/>
    <w:rsid w:val="00842fd0"/>
    <w:pPr>
      <w:widowControl/>
      <w:suppressAutoHyphens w:val="true"/>
      <w:bidi w:val="0"/>
      <w:spacing w:lineRule="auto" w:line="276" w:before="0" w:after="200"/>
      <w:jc w:val="left"/>
    </w:pPr>
    <w:rPr>
      <w:rFonts w:cs="" w:ascii="Calibri" w:hAnsi="Calibri" w:eastAsia="Droid Sans Fallback"/>
      <w:color w:val="auto"/>
      <w:sz w:val="22"/>
      <w:szCs w:val="22"/>
      <w:lang w:eastAsia="zh-CN" w:val="ru-RU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Appleconvertedspace" w:customStyle="1">
    <w:name w:val="apple-converted-space"/>
    <w:rsid w:val="00842fd0"/>
    <w:basedOn w:val="DefaultParagraphFont"/>
    <w:rPr/>
  </w:style>
  <w:style w:type="character" w:styleId="ListLabel1">
    <w:name w:val="ListLabel 1"/>
    <w:rPr>
      <w:rFonts w:cs="Courier New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FreeSans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pPr>
      <w:suppressLineNumbers/>
    </w:pPr>
    <w:rPr>
      <w:rFonts w:cs="FreeSans"/>
    </w:rPr>
  </w:style>
  <w:style w:type="paragraph" w:styleId="ListParagraph">
    <w:name w:val="List Paragraph"/>
    <w:uiPriority w:val="34"/>
    <w:qFormat/>
    <w:rsid w:val="00842fd0"/>
    <w:basedOn w:val="Normal"/>
    <w:pPr>
      <w:spacing w:before="0" w:after="200"/>
      <w:ind w:left="720" w:right="0" w:hanging="0"/>
      <w:contextualSpacing/>
    </w:pPr>
    <w:rPr/>
  </w:style>
  <w:style w:type="paragraph" w:styleId="1" w:customStyle="1">
    <w:name w:val="Абзац списка1"/>
    <w:uiPriority w:val="34"/>
    <w:qFormat/>
    <w:rsid w:val="00842fd0"/>
    <w:basedOn w:val="Normal"/>
    <w:pPr>
      <w:spacing w:before="0" w:after="200"/>
      <w:ind w:left="720" w:right="0" w:hanging="0"/>
      <w:contextualSpacing/>
    </w:pPr>
    <w:rPr>
      <w:rFonts w:ascii="Calibri" w:hAnsi="Calibri" w:eastAsia="Calibri" w:cs="Times New Roman"/>
      <w:lang w:val="en-US"/>
    </w:rPr>
  </w:style>
  <w:style w:type="paragraph" w:styleId="Caption">
    <w:name w:val="caption"/>
    <w:uiPriority w:val="35"/>
    <w:qFormat/>
    <w:unhideWhenUsed/>
    <w:rsid w:val="00842fd0"/>
    <w:basedOn w:val="Normal"/>
    <w:pPr>
      <w:spacing w:lineRule="auto" w:line="240"/>
    </w:pPr>
    <w:rPr>
      <w:b/>
      <w:bCs/>
      <w:color w:val="5B9BD5"/>
      <w:sz w:val="18"/>
      <w:szCs w:val="18"/>
    </w:rPr>
  </w:style>
  <w:style w:type="paragraph" w:styleId="Style20">
    <w:name w:val="Содержимое врезки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ru.wikipedia.org/wiki/&#1053;&#1077;&#1087;&#1088;&#1072;&#1074;&#1080;&#1090;&#1077;&#1083;&#1100;&#1089;&#1090;&#1074;&#1077;&#1085;&#1085;&#1072;&#1103;_&#1086;&#1088;&#1075;&#1072;&#1085;&#1080;&#1079;&#1072;&#1094;&#1080;&#1103;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chart" Target="charts/chart1.xml"/><Relationship Id="rId18" Type="http://schemas.openxmlformats.org/officeDocument/2006/relationships/diagramData" Target="diagrams/data1.xml"/><Relationship Id="rId19" Type="http://schemas.openxmlformats.org/officeDocument/2006/relationships/diagramLayout" Target="diagrams/layout1.xml"/><Relationship Id="rId20" Type="http://schemas.openxmlformats.org/officeDocument/2006/relationships/diagramQuickStyle" Target="diagrams/quickStyle1.xml"/><Relationship Id="rId21" Type="http://schemas.openxmlformats.org/officeDocument/2006/relationships/diagramColors" Target="diagrams/colors1.xml"/><Relationship Id="rId22" Type="http://schemas.microsoft.com/office/2007/relationships/diagramDrawing" Target="diagrams/drawing1.xml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/>
            </a:pPr>
            <a:r>
              <a:rPr sz="842">
                <a:solidFill>
                  <a:srgbClr val="000000"/>
                </a:solidFill>
                <a:latin typeface="Calibri"/>
              </a:rPr>
              <a:t>Протяженность линий электропередачи
 ОАО "НЭС Кыргызстана" </a:t>
            </a:r>
          </a:p>
        </c:rich>
      </c:tx>
      <c:layout/>
    </c:title>
    <c:view3D>
      <c:rotX val="16"/>
      <c:rotY val="19"/>
      <c:rAngAx val="1"/>
      <c:perspective val="30"/>
    </c:view3D>
    <c:floor>
      <c:spPr>
        <a:noFill/>
        <a:ln w="6480">
          <a:solidFill>
            <a:srgbClr val="8b8b8b"/>
          </a:solidFill>
          <a:round/>
        </a:ln>
      </c:spPr>
    </c:floor>
    <c:backWall>
      <c:spPr>
        <a:noFill/>
        <a:ln w="6480">
          <a:solidFill>
            <a:srgbClr val="8b8b8b"/>
          </a:solidFill>
          <a:round/>
        </a:ln>
      </c:spPr>
    </c:backWall>
    <c:plotArea>
      <c:layout/>
      <c:bar3DChart>
        <c:barDir val="bar"/>
        <c:grouping val="stacked"/>
        <c:ser>
          <c:idx val="0"/>
          <c:order val="0"/>
          <c:tx>
            <c:strRef>
              <c:f>label 0</c:f>
              <c:strCache>
                <c:ptCount val="1"/>
                <c:pt idx="0">
                  <c:v>На балансе ОАО </c:v>
                </c:pt>
              </c:strCache>
            </c:strRef>
          </c:tx>
          <c:spPr>
            <a:ln>
              <a:noFill/>
            </a:ln>
          </c:spPr>
          <c:cat>
            <c:strRef>
              <c:f>categories</c:f>
              <c:strCache>
                <c:ptCount val="3"/>
                <c:pt idx="0">
                  <c:v>110 кВ</c:v>
                </c:pt>
                <c:pt idx="1">
                  <c:v>220 кВ</c:v>
                </c:pt>
                <c:pt idx="2">
                  <c:v>500 кВ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4511</c:v>
                </c:pt>
                <c:pt idx="1">
                  <c:v>1985</c:v>
                </c:pt>
                <c:pt idx="2">
                  <c:v>541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Построены в рамках проекта</c:v>
                </c:pt>
              </c:strCache>
            </c:strRef>
          </c:tx>
          <c:spPr>
            <a:ln>
              <a:noFill/>
            </a:ln>
          </c:spPr>
          <c:cat>
            <c:strRef>
              <c:f>categories</c:f>
              <c:strCache>
                <c:ptCount val="3"/>
                <c:pt idx="0">
                  <c:v>110 кВ</c:v>
                </c:pt>
                <c:pt idx="1">
                  <c:v>220 кВ</c:v>
                </c:pt>
                <c:pt idx="2">
                  <c:v>500 кВ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3"/>
                <c:pt idx="0">
                  <c:v>41.1</c:v>
                </c:pt>
                <c:pt idx="1">
                  <c:v>405</c:v>
                </c:pt>
                <c:pt idx="2">
                  <c:v/>
                </c:pt>
              </c:numCache>
            </c:numRef>
          </c:val>
        </c:ser>
        <c:gapWidth val="75"/>
        <c:shape val="box"/>
        <c:axId val="76727777"/>
        <c:axId val="84292302"/>
        <c:axId val="0"/>
      </c:bar3DChart>
      <c:catAx>
        <c:axId val="76727777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 w="6480">
            <a:solidFill>
              <a:srgbClr val="8b8b8b"/>
            </a:solidFill>
            <a:round/>
          </a:ln>
        </c:spPr>
        <c:crossAx val="84292302"/>
        <c:crossesAt val="0"/>
        <c:auto val="1"/>
        <c:lblAlgn val="ctr"/>
        <c:lblOffset val="100"/>
      </c:catAx>
      <c:valAx>
        <c:axId val="84292302"/>
        <c:scaling>
          <c:orientation val="minMax"/>
        </c:scaling>
        <c:delete val="0"/>
        <c:axPos val="l"/>
        <c:majorGridlines>
          <c:spPr>
            <a:ln w="6480">
              <a:solidFill>
                <a:srgbClr val="8b8b8b"/>
              </a:solidFill>
              <a:round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b="1" sz="601">
                    <a:solidFill>
                      <a:srgbClr val="000000"/>
                    </a:solidFill>
                    <a:latin typeface="Calibri"/>
                    <a:ea typeface="Calibri"/>
                  </a:rPr>
                  <a:t>км</a:t>
                </a:r>
              </a:p>
            </c:rich>
          </c:tx>
          <c:layout/>
        </c:title>
        <c:majorTickMark val="none"/>
        <c:minorTickMark val="none"/>
        <c:tickLblPos val="nextTo"/>
        <c:spPr>
          <a:ln w="6480">
            <a:solidFill>
              <a:srgbClr val="8b8b8b"/>
            </a:solidFill>
            <a:round/>
          </a:ln>
        </c:spPr>
        <c:crossAx val="76727777"/>
        <c:crossesAt val="0"/>
      </c:valAx>
      <c:spPr>
        <a:noFill/>
        <a:ln w="6480">
          <a:solidFill>
            <a:srgbClr val="8b8b8b"/>
          </a:solidFill>
          <a:round/>
        </a:ln>
      </c:spPr>
    </c:plotArea>
    <c:legend>
      <c:spPr>
        <a:noFill/>
        <a:ln>
          <a:noFill/>
        </a:ln>
      </c:spPr>
    </c:legend>
    <c:plotVisOnly val="1"/>
  </c:chart>
  <c:spPr>
    <a:noFill/>
    <a:ln>
      <a:noFill/>
    </a:ln>
  </c:spPr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C9747F-E8D7-0146-AFEA-A36C641CABDE}" type="doc">
      <dgm:prSet loTypeId="urn:microsoft.com/office/officeart/2005/8/layout/cycle7" loCatId="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535F44-1F0D-1849-AABC-AF790BE22786}">
      <dgm:prSet phldrT="[Текст]" custT="1"/>
      <dgm:spPr/>
      <dgm:t>
        <a:bodyPr/>
        <a:lstStyle/>
        <a:p>
          <a:pPr algn="ctr"/>
          <a:r>
            <a:rPr lang="ru-RU" sz="1500"/>
            <a:t>110 кВ</a:t>
          </a:r>
        </a:p>
        <a:p>
          <a:pPr algn="ctr"/>
          <a:r>
            <a:rPr lang="ru-RU" sz="1500"/>
            <a:t>176 шт.</a:t>
          </a:r>
        </a:p>
      </dgm:t>
    </dgm:pt>
    <dgm:pt modelId="{AC074276-492F-B44D-ABB9-225CBFE00EC3}" type="parTrans" cxnId="{5CDA3C1C-4CC5-7748-9F9A-BA541FB2914E}">
      <dgm:prSet/>
      <dgm:spPr/>
      <dgm:t>
        <a:bodyPr/>
        <a:lstStyle/>
        <a:p>
          <a:pPr algn="ctr"/>
          <a:endParaRPr lang="ru-RU"/>
        </a:p>
      </dgm:t>
    </dgm:pt>
    <dgm:pt modelId="{33A43739-AD5E-8241-9D24-721B68987EA5}" type="sibTrans" cxnId="{5CDA3C1C-4CC5-7748-9F9A-BA541FB2914E}">
      <dgm:prSet/>
      <dgm:spPr/>
      <dgm:t>
        <a:bodyPr/>
        <a:lstStyle/>
        <a:p>
          <a:pPr algn="ctr"/>
          <a:endParaRPr lang="ru-RU"/>
        </a:p>
      </dgm:t>
    </dgm:pt>
    <dgm:pt modelId="{4A2033B0-2A64-FB42-B286-1944C31CE58F}">
      <dgm:prSet phldrT="[Текст]" custT="1"/>
      <dgm:spPr/>
      <dgm:t>
        <a:bodyPr/>
        <a:lstStyle/>
        <a:p>
          <a:pPr algn="ctr"/>
          <a:endParaRPr lang="ru-RU" sz="1500"/>
        </a:p>
        <a:p>
          <a:pPr algn="ctr"/>
          <a:r>
            <a:rPr lang="ru-RU" sz="1500"/>
            <a:t>500 кВ</a:t>
          </a:r>
        </a:p>
        <a:p>
          <a:pPr algn="ctr"/>
          <a:r>
            <a:rPr lang="ru-RU" sz="1500"/>
            <a:t>3 шт.</a:t>
          </a:r>
        </a:p>
        <a:p>
          <a:pPr algn="ctr"/>
          <a:endParaRPr lang="ru-RU" sz="1500"/>
        </a:p>
      </dgm:t>
    </dgm:pt>
    <dgm:pt modelId="{C451F4D8-BB43-0643-8BEC-FA9D1D25E785}" type="parTrans" cxnId="{980EF422-648D-3B4E-863A-5007F5C9E14F}">
      <dgm:prSet/>
      <dgm:spPr/>
      <dgm:t>
        <a:bodyPr/>
        <a:lstStyle/>
        <a:p>
          <a:pPr algn="ctr"/>
          <a:endParaRPr lang="ru-RU"/>
        </a:p>
      </dgm:t>
    </dgm:pt>
    <dgm:pt modelId="{38D82601-F1E9-114A-A20E-4B8D37235746}" type="sibTrans" cxnId="{980EF422-648D-3B4E-863A-5007F5C9E14F}">
      <dgm:prSet/>
      <dgm:spPr/>
      <dgm:t>
        <a:bodyPr/>
        <a:lstStyle/>
        <a:p>
          <a:pPr algn="ctr"/>
          <a:endParaRPr lang="ru-RU"/>
        </a:p>
      </dgm:t>
    </dgm:pt>
    <dgm:pt modelId="{5C344719-9F9A-6B4F-A758-F410A071A94E}">
      <dgm:prSet phldrT="[Текст]" custT="1"/>
      <dgm:spPr/>
      <dgm:t>
        <a:bodyPr/>
        <a:lstStyle/>
        <a:p>
          <a:pPr algn="ctr"/>
          <a:r>
            <a:rPr lang="ru-RU" sz="1500"/>
            <a:t>220 кВ</a:t>
          </a:r>
        </a:p>
        <a:p>
          <a:pPr algn="ctr"/>
          <a:r>
            <a:rPr lang="ru-RU" sz="1500"/>
            <a:t>14 шт.</a:t>
          </a:r>
        </a:p>
      </dgm:t>
    </dgm:pt>
    <dgm:pt modelId="{D309DC5E-C0F8-0741-A01A-9DD996AC1620}" type="sibTrans" cxnId="{824B4280-EC45-6245-95C9-78C2445B65B1}">
      <dgm:prSet/>
      <dgm:spPr/>
      <dgm:t>
        <a:bodyPr/>
        <a:lstStyle/>
        <a:p>
          <a:pPr algn="ctr"/>
          <a:endParaRPr lang="ru-RU"/>
        </a:p>
      </dgm:t>
    </dgm:pt>
    <dgm:pt modelId="{A5CBCA9A-6DC4-CC4B-BC81-3CB66EF33780}" type="parTrans" cxnId="{824B4280-EC45-6245-95C9-78C2445B65B1}">
      <dgm:prSet/>
      <dgm:spPr/>
      <dgm:t>
        <a:bodyPr/>
        <a:lstStyle/>
        <a:p>
          <a:pPr algn="ctr"/>
          <a:endParaRPr lang="ru-RU"/>
        </a:p>
      </dgm:t>
    </dgm:pt>
    <dgm:pt modelId="{25A501D8-36A4-4687-9BD8-D00A62B5E44F}">
      <dgm:prSet phldrT="[Текст]" custT="1"/>
      <dgm:spPr/>
      <dgm:t>
        <a:bodyPr/>
        <a:lstStyle/>
        <a:p>
          <a:endParaRPr lang="ru-RU" sz="900" b="1"/>
        </a:p>
        <a:p>
          <a:r>
            <a:rPr lang="ru-RU" sz="1400" b="0"/>
            <a:t>ПС 500 кВ "Кемин"</a:t>
          </a:r>
        </a:p>
        <a:p>
          <a:endParaRPr lang="ru-RU" sz="900" b="1"/>
        </a:p>
      </dgm:t>
    </dgm:pt>
    <dgm:pt modelId="{C517E8D8-3CE7-4732-BFD8-4F5E80395F8E}" type="parTrans" cxnId="{C040338C-BB42-4D7B-8ED9-BF5A14DFA8F1}">
      <dgm:prSet/>
      <dgm:spPr/>
      <dgm:t>
        <a:bodyPr/>
        <a:lstStyle/>
        <a:p>
          <a:endParaRPr lang="ru-RU"/>
        </a:p>
      </dgm:t>
    </dgm:pt>
    <dgm:pt modelId="{1EBBC48C-B43D-4A12-8C09-C6A3147D666E}" type="sibTrans" cxnId="{C040338C-BB42-4D7B-8ED9-BF5A14DFA8F1}">
      <dgm:prSet/>
      <dgm:spPr/>
      <dgm:t>
        <a:bodyPr/>
        <a:lstStyle/>
        <a:p>
          <a:endParaRPr lang="ru-RU"/>
        </a:p>
      </dgm:t>
    </dgm:pt>
    <dgm:pt modelId="{F3E7E9F2-6BFE-8042-B915-23E903BBE2F7}" type="pres">
      <dgm:prSet presAssocID="{1BC9747F-E8D7-0146-AFEA-A36C641CABD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A549C6B-3F9A-3741-9D7B-F14DDA4EDBF3}" type="pres">
      <dgm:prSet presAssocID="{73535F44-1F0D-1849-AABC-AF790BE22786}" presName="node" presStyleLbl="node1" presStyleIdx="0" presStyleCnt="4" custRadScaleRad="138150" custRadScaleInc="-1057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7C280A-C673-2142-A85B-17F273FA4EA9}" type="pres">
      <dgm:prSet presAssocID="{33A43739-AD5E-8241-9D24-721B68987EA5}" presName="sibTrans" presStyleLbl="sibTrans2D1" presStyleIdx="0" presStyleCnt="4"/>
      <dgm:spPr/>
      <dgm:t>
        <a:bodyPr/>
        <a:lstStyle/>
        <a:p>
          <a:endParaRPr lang="ru-RU"/>
        </a:p>
      </dgm:t>
    </dgm:pt>
    <dgm:pt modelId="{43FE1B81-FA30-EE40-AEBB-CA86EC0B3370}" type="pres">
      <dgm:prSet presAssocID="{33A43739-AD5E-8241-9D24-721B68987EA5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BB24D5FE-182C-8647-B107-6B0B282E9067}" type="pres">
      <dgm:prSet presAssocID="{4A2033B0-2A64-FB42-B286-1944C31CE58F}" presName="node" presStyleLbl="node1" presStyleIdx="1" presStyleCnt="4" custRadScaleRad="4307" custRadScaleInc="-3429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B292FD-0085-BF47-8B75-2F73E6551180}" type="pres">
      <dgm:prSet presAssocID="{38D82601-F1E9-114A-A20E-4B8D37235746}" presName="sibTrans" presStyleLbl="sibTrans2D1" presStyleIdx="1" presStyleCnt="4" custAng="39309" custScaleX="99166" custScaleY="171332" custLinFactNeighborX="-6743" custLinFactNeighborY="-27969"/>
      <dgm:spPr>
        <a:prstGeom prst="mathPlus">
          <a:avLst/>
        </a:prstGeom>
      </dgm:spPr>
      <dgm:t>
        <a:bodyPr/>
        <a:lstStyle/>
        <a:p>
          <a:endParaRPr lang="ru-RU"/>
        </a:p>
      </dgm:t>
    </dgm:pt>
    <dgm:pt modelId="{0CBD00EC-D015-EF47-BA2C-3B721716889B}" type="pres">
      <dgm:prSet presAssocID="{38D82601-F1E9-114A-A20E-4B8D37235746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A24B68C3-BBA9-4B23-8735-8EC2B76CA198}" type="pres">
      <dgm:prSet presAssocID="{25A501D8-36A4-4687-9BD8-D00A62B5E44F}" presName="node" presStyleLbl="node1" presStyleIdx="2" presStyleCnt="4" custRadScaleRad="156115" custRadScaleInc="-2030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81DB85-D60E-48FF-8612-74B5E0D53310}" type="pres">
      <dgm:prSet presAssocID="{1EBBC48C-B43D-4A12-8C09-C6A3147D666E}" presName="sibTrans" presStyleLbl="sibTrans2D1" presStyleIdx="2" presStyleCnt="4" custAng="19258" custScaleX="150498" custLinFactX="-100000" custLinFactNeighborX="-105521" custLinFactNeighborY="-16434"/>
      <dgm:spPr/>
      <dgm:t>
        <a:bodyPr/>
        <a:lstStyle/>
        <a:p>
          <a:endParaRPr lang="ru-RU"/>
        </a:p>
      </dgm:t>
    </dgm:pt>
    <dgm:pt modelId="{A74E4F57-B57F-4F36-BC63-C9BB51873495}" type="pres">
      <dgm:prSet presAssocID="{1EBBC48C-B43D-4A12-8C09-C6A3147D666E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028611E3-6E60-6244-95BC-37EB4C4D171A}" type="pres">
      <dgm:prSet presAssocID="{5C344719-9F9A-6B4F-A758-F410A071A94E}" presName="node" presStyleLbl="node1" presStyleIdx="3" presStyleCnt="4" custRadScaleRad="170364" custRadScaleInc="13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EDE310-58AF-254C-8347-8D1208ACC7A1}" type="pres">
      <dgm:prSet presAssocID="{D309DC5E-C0F8-0741-A01A-9DD996AC1620}" presName="sibTrans" presStyleLbl="sibTrans2D1" presStyleIdx="3" presStyleCnt="4"/>
      <dgm:spPr/>
      <dgm:t>
        <a:bodyPr/>
        <a:lstStyle/>
        <a:p>
          <a:endParaRPr lang="ru-RU"/>
        </a:p>
      </dgm:t>
    </dgm:pt>
    <dgm:pt modelId="{5628EB18-E1E6-7D46-9DA2-05C43DDDE1A9}" type="pres">
      <dgm:prSet presAssocID="{D309DC5E-C0F8-0741-A01A-9DD996AC1620}" presName="connectorText" presStyleLbl="sibTrans2D1" presStyleIdx="3" presStyleCnt="4"/>
      <dgm:spPr/>
      <dgm:t>
        <a:bodyPr/>
        <a:lstStyle/>
        <a:p>
          <a:endParaRPr lang="ru-RU"/>
        </a:p>
      </dgm:t>
    </dgm:pt>
  </dgm:ptLst>
  <dgm:cxnLst>
    <dgm:cxn modelId="{5CDA3C1C-4CC5-7748-9F9A-BA541FB2914E}" srcId="{1BC9747F-E8D7-0146-AFEA-A36C641CABDE}" destId="{73535F44-1F0D-1849-AABC-AF790BE22786}" srcOrd="0" destOrd="0" parTransId="{AC074276-492F-B44D-ABB9-225CBFE00EC3}" sibTransId="{33A43739-AD5E-8241-9D24-721B68987EA5}"/>
    <dgm:cxn modelId="{06D33A3A-A5F6-4184-B7E8-B9A0AC7A72DC}" type="presOf" srcId="{33A43739-AD5E-8241-9D24-721B68987EA5}" destId="{F17C280A-C673-2142-A85B-17F273FA4EA9}" srcOrd="0" destOrd="0" presId="urn:microsoft.com/office/officeart/2005/8/layout/cycle7"/>
    <dgm:cxn modelId="{B9BCDE3F-CE04-408B-B8D9-F8CCEAC0239D}" type="presOf" srcId="{D309DC5E-C0F8-0741-A01A-9DD996AC1620}" destId="{5628EB18-E1E6-7D46-9DA2-05C43DDDE1A9}" srcOrd="1" destOrd="0" presId="urn:microsoft.com/office/officeart/2005/8/layout/cycle7"/>
    <dgm:cxn modelId="{A52A8994-0648-47C3-9381-7FF9AF1656A2}" type="presOf" srcId="{25A501D8-36A4-4687-9BD8-D00A62B5E44F}" destId="{A24B68C3-BBA9-4B23-8735-8EC2B76CA198}" srcOrd="0" destOrd="0" presId="urn:microsoft.com/office/officeart/2005/8/layout/cycle7"/>
    <dgm:cxn modelId="{93EFCE64-FEFE-461C-9CA8-07E98D3733EA}" type="presOf" srcId="{1EBBC48C-B43D-4A12-8C09-C6A3147D666E}" destId="{A74E4F57-B57F-4F36-BC63-C9BB51873495}" srcOrd="1" destOrd="0" presId="urn:microsoft.com/office/officeart/2005/8/layout/cycle7"/>
    <dgm:cxn modelId="{C6A74FCF-D2AA-4A71-B7C4-4B4412CD78AB}" type="presOf" srcId="{73535F44-1F0D-1849-AABC-AF790BE22786}" destId="{0A549C6B-3F9A-3741-9D7B-F14DDA4EDBF3}" srcOrd="0" destOrd="0" presId="urn:microsoft.com/office/officeart/2005/8/layout/cycle7"/>
    <dgm:cxn modelId="{2A81B30E-AAC5-4D4A-A687-A49CAA45EA7E}" type="presOf" srcId="{38D82601-F1E9-114A-A20E-4B8D37235746}" destId="{0CBD00EC-D015-EF47-BA2C-3B721716889B}" srcOrd="1" destOrd="0" presId="urn:microsoft.com/office/officeart/2005/8/layout/cycle7"/>
    <dgm:cxn modelId="{40D920B5-FC72-49BD-BBB3-8D40419D9E69}" type="presOf" srcId="{38D82601-F1E9-114A-A20E-4B8D37235746}" destId="{E1B292FD-0085-BF47-8B75-2F73E6551180}" srcOrd="0" destOrd="0" presId="urn:microsoft.com/office/officeart/2005/8/layout/cycle7"/>
    <dgm:cxn modelId="{2C4367FA-58AC-4538-A589-D409A96ED4C1}" type="presOf" srcId="{33A43739-AD5E-8241-9D24-721B68987EA5}" destId="{43FE1B81-FA30-EE40-AEBB-CA86EC0B3370}" srcOrd="1" destOrd="0" presId="urn:microsoft.com/office/officeart/2005/8/layout/cycle7"/>
    <dgm:cxn modelId="{6EFF4195-0F64-4B56-BE27-D42DB6B15D05}" type="presOf" srcId="{D309DC5E-C0F8-0741-A01A-9DD996AC1620}" destId="{D7EDE310-58AF-254C-8347-8D1208ACC7A1}" srcOrd="0" destOrd="0" presId="urn:microsoft.com/office/officeart/2005/8/layout/cycle7"/>
    <dgm:cxn modelId="{9597F8B2-5F9E-485B-A9AC-2F8D2D1B92B9}" type="presOf" srcId="{1EBBC48C-B43D-4A12-8C09-C6A3147D666E}" destId="{BB81DB85-D60E-48FF-8612-74B5E0D53310}" srcOrd="0" destOrd="0" presId="urn:microsoft.com/office/officeart/2005/8/layout/cycle7"/>
    <dgm:cxn modelId="{824B4280-EC45-6245-95C9-78C2445B65B1}" srcId="{1BC9747F-E8D7-0146-AFEA-A36C641CABDE}" destId="{5C344719-9F9A-6B4F-A758-F410A071A94E}" srcOrd="3" destOrd="0" parTransId="{A5CBCA9A-6DC4-CC4B-BC81-3CB66EF33780}" sibTransId="{D309DC5E-C0F8-0741-A01A-9DD996AC1620}"/>
    <dgm:cxn modelId="{FAFCDA44-34DB-4F96-A9C8-DBCF7F0841E1}" type="presOf" srcId="{5C344719-9F9A-6B4F-A758-F410A071A94E}" destId="{028611E3-6E60-6244-95BC-37EB4C4D171A}" srcOrd="0" destOrd="0" presId="urn:microsoft.com/office/officeart/2005/8/layout/cycle7"/>
    <dgm:cxn modelId="{696DCC6E-179B-49E3-8478-88D7B937A615}" type="presOf" srcId="{1BC9747F-E8D7-0146-AFEA-A36C641CABDE}" destId="{F3E7E9F2-6BFE-8042-B915-23E903BBE2F7}" srcOrd="0" destOrd="0" presId="urn:microsoft.com/office/officeart/2005/8/layout/cycle7"/>
    <dgm:cxn modelId="{980EF422-648D-3B4E-863A-5007F5C9E14F}" srcId="{1BC9747F-E8D7-0146-AFEA-A36C641CABDE}" destId="{4A2033B0-2A64-FB42-B286-1944C31CE58F}" srcOrd="1" destOrd="0" parTransId="{C451F4D8-BB43-0643-8BEC-FA9D1D25E785}" sibTransId="{38D82601-F1E9-114A-A20E-4B8D37235746}"/>
    <dgm:cxn modelId="{C040338C-BB42-4D7B-8ED9-BF5A14DFA8F1}" srcId="{1BC9747F-E8D7-0146-AFEA-A36C641CABDE}" destId="{25A501D8-36A4-4687-9BD8-D00A62B5E44F}" srcOrd="2" destOrd="0" parTransId="{C517E8D8-3CE7-4732-BFD8-4F5E80395F8E}" sibTransId="{1EBBC48C-B43D-4A12-8C09-C6A3147D666E}"/>
    <dgm:cxn modelId="{CC381A92-A8A5-4F86-A39F-5A507CE5DDBD}" type="presOf" srcId="{4A2033B0-2A64-FB42-B286-1944C31CE58F}" destId="{BB24D5FE-182C-8647-B107-6B0B282E9067}" srcOrd="0" destOrd="0" presId="urn:microsoft.com/office/officeart/2005/8/layout/cycle7"/>
    <dgm:cxn modelId="{8F5AAF5C-F2C9-46A6-BAA1-374EBCA4DF60}" type="presParOf" srcId="{F3E7E9F2-6BFE-8042-B915-23E903BBE2F7}" destId="{0A549C6B-3F9A-3741-9D7B-F14DDA4EDBF3}" srcOrd="0" destOrd="0" presId="urn:microsoft.com/office/officeart/2005/8/layout/cycle7"/>
    <dgm:cxn modelId="{BC23E17E-D569-4EED-A7E6-1FF78BB55794}" type="presParOf" srcId="{F3E7E9F2-6BFE-8042-B915-23E903BBE2F7}" destId="{F17C280A-C673-2142-A85B-17F273FA4EA9}" srcOrd="1" destOrd="0" presId="urn:microsoft.com/office/officeart/2005/8/layout/cycle7"/>
    <dgm:cxn modelId="{BF07AFD6-66CC-405D-9D7D-1B434C5495C7}" type="presParOf" srcId="{F17C280A-C673-2142-A85B-17F273FA4EA9}" destId="{43FE1B81-FA30-EE40-AEBB-CA86EC0B3370}" srcOrd="0" destOrd="0" presId="urn:microsoft.com/office/officeart/2005/8/layout/cycle7"/>
    <dgm:cxn modelId="{6A9CEFBE-BD02-4734-9C4F-15AF6F50AD4E}" type="presParOf" srcId="{F3E7E9F2-6BFE-8042-B915-23E903BBE2F7}" destId="{BB24D5FE-182C-8647-B107-6B0B282E9067}" srcOrd="2" destOrd="0" presId="urn:microsoft.com/office/officeart/2005/8/layout/cycle7"/>
    <dgm:cxn modelId="{01889641-3AFA-45CB-BBD4-3AEBA12D7405}" type="presParOf" srcId="{F3E7E9F2-6BFE-8042-B915-23E903BBE2F7}" destId="{E1B292FD-0085-BF47-8B75-2F73E6551180}" srcOrd="3" destOrd="0" presId="urn:microsoft.com/office/officeart/2005/8/layout/cycle7"/>
    <dgm:cxn modelId="{5747F7F0-876C-4A4D-87F0-D7CF5952D3D4}" type="presParOf" srcId="{E1B292FD-0085-BF47-8B75-2F73E6551180}" destId="{0CBD00EC-D015-EF47-BA2C-3B721716889B}" srcOrd="0" destOrd="0" presId="urn:microsoft.com/office/officeart/2005/8/layout/cycle7"/>
    <dgm:cxn modelId="{6E18E0E2-75E8-4916-82C2-06FC802D85FC}" type="presParOf" srcId="{F3E7E9F2-6BFE-8042-B915-23E903BBE2F7}" destId="{A24B68C3-BBA9-4B23-8735-8EC2B76CA198}" srcOrd="4" destOrd="0" presId="urn:microsoft.com/office/officeart/2005/8/layout/cycle7"/>
    <dgm:cxn modelId="{418E12C1-9FD3-43B9-ACB9-5FD3A1ED6B81}" type="presParOf" srcId="{F3E7E9F2-6BFE-8042-B915-23E903BBE2F7}" destId="{BB81DB85-D60E-48FF-8612-74B5E0D53310}" srcOrd="5" destOrd="0" presId="urn:microsoft.com/office/officeart/2005/8/layout/cycle7"/>
    <dgm:cxn modelId="{6275EF07-BBF5-4D37-88D7-DD85964A207A}" type="presParOf" srcId="{BB81DB85-D60E-48FF-8612-74B5E0D53310}" destId="{A74E4F57-B57F-4F36-BC63-C9BB51873495}" srcOrd="0" destOrd="0" presId="urn:microsoft.com/office/officeart/2005/8/layout/cycle7"/>
    <dgm:cxn modelId="{E51EFC9C-CBC0-4F52-956D-731BE8DF4F93}" type="presParOf" srcId="{F3E7E9F2-6BFE-8042-B915-23E903BBE2F7}" destId="{028611E3-6E60-6244-95BC-37EB4C4D171A}" srcOrd="6" destOrd="0" presId="urn:microsoft.com/office/officeart/2005/8/layout/cycle7"/>
    <dgm:cxn modelId="{78AF5F5E-306D-42D7-A324-ACAB8D07AED3}" type="presParOf" srcId="{F3E7E9F2-6BFE-8042-B915-23E903BBE2F7}" destId="{D7EDE310-58AF-254C-8347-8D1208ACC7A1}" srcOrd="7" destOrd="0" presId="urn:microsoft.com/office/officeart/2005/8/layout/cycle7"/>
    <dgm:cxn modelId="{3AE7246D-B7C7-4532-ADD3-A8652E579160}" type="presParOf" srcId="{D7EDE310-58AF-254C-8347-8D1208ACC7A1}" destId="{5628EB18-E1E6-7D46-9DA2-05C43DDDE1A9}" srcOrd="0" destOrd="0" presId="urn:microsoft.com/office/officeart/2005/8/layout/cycle7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549C6B-3F9A-3741-9D7B-F14DDA4EDBF3}">
      <dsp:nvSpPr>
        <dsp:cNvPr id="0" name=""/>
        <dsp:cNvSpPr/>
      </dsp:nvSpPr>
      <dsp:spPr>
        <a:xfrm>
          <a:off x="653019" y="66101"/>
          <a:ext cx="993288" cy="49664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110 кВ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176 шт.</a:t>
          </a:r>
        </a:p>
      </dsp:txBody>
      <dsp:txXfrm>
        <a:off x="667565" y="80647"/>
        <a:ext cx="964196" cy="467552"/>
      </dsp:txXfrm>
    </dsp:sp>
    <dsp:sp modelId="{F17C280A-C673-2142-A85B-17F273FA4EA9}">
      <dsp:nvSpPr>
        <dsp:cNvPr id="0" name=""/>
        <dsp:cNvSpPr/>
      </dsp:nvSpPr>
      <dsp:spPr>
        <a:xfrm rot="2575867">
          <a:off x="1430774" y="663213"/>
          <a:ext cx="374502" cy="173825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482922" y="697978"/>
        <a:ext cx="270207" cy="104295"/>
      </dsp:txXfrm>
    </dsp:sp>
    <dsp:sp modelId="{BB24D5FE-182C-8647-B107-6B0B282E9067}">
      <dsp:nvSpPr>
        <dsp:cNvPr id="0" name=""/>
        <dsp:cNvSpPr/>
      </dsp:nvSpPr>
      <dsp:spPr>
        <a:xfrm>
          <a:off x="1589743" y="937507"/>
          <a:ext cx="993288" cy="49664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500 кВ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3 шт.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1604289" y="952053"/>
        <a:ext cx="964196" cy="467552"/>
      </dsp:txXfrm>
    </dsp:sp>
    <dsp:sp modelId="{E1B292FD-0085-BF47-8B75-2F73E6551180}">
      <dsp:nvSpPr>
        <dsp:cNvPr id="0" name=""/>
        <dsp:cNvSpPr/>
      </dsp:nvSpPr>
      <dsp:spPr>
        <a:xfrm rot="21600000">
          <a:off x="2638850" y="979573"/>
          <a:ext cx="371379" cy="297818"/>
        </a:xfrm>
        <a:prstGeom prst="mathPlus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-21600000">
        <a:off x="2728195" y="1039137"/>
        <a:ext cx="192689" cy="178690"/>
      </dsp:txXfrm>
    </dsp:sp>
    <dsp:sp modelId="{A24B68C3-BBA9-4B23-8735-8EC2B76CA198}">
      <dsp:nvSpPr>
        <dsp:cNvPr id="0" name=""/>
        <dsp:cNvSpPr/>
      </dsp:nvSpPr>
      <dsp:spPr>
        <a:xfrm>
          <a:off x="3116553" y="920048"/>
          <a:ext cx="993288" cy="49664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/>
            <a:t>ПС 500 кВ "Кемин"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/>
        </a:p>
      </dsp:txBody>
      <dsp:txXfrm>
        <a:off x="3131099" y="934594"/>
        <a:ext cx="964196" cy="467552"/>
      </dsp:txXfrm>
    </dsp:sp>
    <dsp:sp modelId="{BB81DB85-D60E-48FF-8612-74B5E0D53310}">
      <dsp:nvSpPr>
        <dsp:cNvPr id="0" name=""/>
        <dsp:cNvSpPr/>
      </dsp:nvSpPr>
      <dsp:spPr>
        <a:xfrm rot="10800000">
          <a:off x="1003783" y="1061618"/>
          <a:ext cx="563618" cy="173825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1055930" y="1096383"/>
        <a:ext cx="459323" cy="104295"/>
      </dsp:txXfrm>
    </dsp:sp>
    <dsp:sp modelId="{028611E3-6E60-6244-95BC-37EB4C4D171A}">
      <dsp:nvSpPr>
        <dsp:cNvPr id="0" name=""/>
        <dsp:cNvSpPr/>
      </dsp:nvSpPr>
      <dsp:spPr>
        <a:xfrm>
          <a:off x="705" y="937503"/>
          <a:ext cx="993288" cy="49664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220 кВ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14 шт.</a:t>
          </a:r>
        </a:p>
      </dsp:txBody>
      <dsp:txXfrm>
        <a:off x="15251" y="952049"/>
        <a:ext cx="964196" cy="467552"/>
      </dsp:txXfrm>
    </dsp:sp>
    <dsp:sp modelId="{D7EDE310-58AF-254C-8347-8D1208ACC7A1}">
      <dsp:nvSpPr>
        <dsp:cNvPr id="0" name=""/>
        <dsp:cNvSpPr/>
      </dsp:nvSpPr>
      <dsp:spPr>
        <a:xfrm rot="18409065">
          <a:off x="636255" y="663211"/>
          <a:ext cx="374502" cy="173825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688403" y="697976"/>
        <a:ext cx="270207" cy="1042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2015-09-02T10:11:00Z</dcterms:created>
  <dc:creator>Жунусова З.К.</dc:creator>
  <dc:language>ru-RU</dc:language>
  <cp:lastModifiedBy>Жунусова З.К.</cp:lastModifiedBy>
  <dcterms:modified xsi:type="dcterms:W3CDTF">2015-09-02T10:13:00Z</dcterms:modified>
  <cp:revision>1</cp:revision>
</cp:coreProperties>
</file>