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ind w:left="0" w:right="0" w:firstLine="709"/>
        <w:jc w:val="center"/>
        <w:outlineLvl w:val="1"/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Матрица индикаторов мониторинга и оценки реализации Программы Правительства Кыргызской Республики по развитию и поддержке малого и среднего предпринимательства в Кыргызской Республике на 2019-2023 годы</w:t>
      </w:r>
    </w:p>
    <w:tbl>
      <w:tblPr>
        <w:tblW w:w="14570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90"/>
        <w:gridCol w:w="27"/>
        <w:gridCol w:w="1884"/>
        <w:gridCol w:w="44"/>
        <w:gridCol w:w="761"/>
        <w:gridCol w:w="26"/>
        <w:gridCol w:w="1083"/>
        <w:gridCol w:w="26"/>
        <w:gridCol w:w="1082"/>
        <w:gridCol w:w="26"/>
        <w:gridCol w:w="1089"/>
        <w:gridCol w:w="26"/>
        <w:gridCol w:w="1219"/>
        <w:gridCol w:w="30"/>
        <w:gridCol w:w="4"/>
        <w:gridCol w:w="1364"/>
        <w:gridCol w:w="29"/>
        <w:gridCol w:w="4"/>
        <w:gridCol w:w="1508"/>
        <w:gridCol w:w="29"/>
        <w:gridCol w:w="5"/>
        <w:gridCol w:w="2012"/>
      </w:tblGrid>
      <w:tr>
        <w:trPr>
          <w:cantSplit w:val="false"/>
        </w:trPr>
        <w:tc>
          <w:tcPr>
            <w:tcW w:w="2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Приоритеты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5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Промежуточные индикаторы, год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15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22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83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kTablica"/>
              <w:spacing w:before="0" w:after="60"/>
              <w:jc w:val="center"/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eastAsia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1128" w:hRule="atLeast"/>
          <w:cantSplit w:val="false"/>
        </w:trPr>
        <w:tc>
          <w:tcPr>
            <w:tcW w:w="2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. Содействие развитию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внешнеэкономической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экспорта в структуре ВВП</w:t>
            </w:r>
          </w:p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МБ, ПГИ, ПИИ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МЭ(*), АПЗИ, министерства и ведомства</w:t>
            </w:r>
          </w:p>
        </w:tc>
      </w:tr>
      <w:tr>
        <w:trPr>
          <w:trHeight w:val="1068" w:hRule="atLeast"/>
          <w:cantSplit w:val="false"/>
        </w:trPr>
        <w:tc>
          <w:tcPr>
            <w:tcW w:w="22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поступлений таможенных платежей в общем объёме доходов  бюджета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ГТС</w:t>
            </w:r>
          </w:p>
        </w:tc>
      </w:tr>
      <w:tr>
        <w:trPr>
          <w:trHeight w:val="1068" w:hRule="atLeast"/>
          <w:cantSplit w:val="false"/>
        </w:trPr>
        <w:tc>
          <w:tcPr>
            <w:tcW w:w="22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времени прохождения таможенного контроля в местах таможенного оформления операций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техническая помощь международных финансовых институтов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</w:rPr>
              <w:t>ГТС, МЭ</w:t>
            </w:r>
          </w:p>
        </w:tc>
      </w:tr>
      <w:tr>
        <w:trPr>
          <w:cantSplit w:val="false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Общий показатель уровня цифровизации государственных услуг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предоставляемых цифровых государственных услуг для населения и бизнеса по отношению к общему числу государственных услуг, предоставляемых традиционным способом</w:t>
            </w:r>
          </w:p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ПИИ, привлеченные средства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ГКИТС(*), ГРС</w:t>
            </w:r>
          </w:p>
        </w:tc>
      </w:tr>
      <w:tr>
        <w:trPr>
          <w:cantSplit w:val="false"/>
        </w:trPr>
        <w:tc>
          <w:tcPr>
            <w:tcW w:w="2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НПА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  <w:lang w:val="ky-KG"/>
              </w:rPr>
            </w:pPr>
            <w:r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  <w:lang w:val="ky-KG"/>
              </w:rPr>
              <w:t xml:space="preserve">ГТС, ГПС, МТД, МЭ, </w:t>
            </w:r>
            <w:r>
              <w:rPr>
                <w:rFonts w:cs="Times New Roman" w:ascii="Times New Roman" w:hAnsi="Times New Roman"/>
                <w:sz w:val="24"/>
                <w:szCs w:val="24"/>
                <w:lang w:val="ky-KG"/>
              </w:rPr>
              <w:t>ГИВФБ,</w:t>
            </w:r>
            <w:r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  <w:lang w:val="ky-KG"/>
              </w:rPr>
              <w:t xml:space="preserve"> МЗ</w:t>
            </w:r>
          </w:p>
        </w:tc>
      </w:tr>
      <w:tr>
        <w:trPr>
          <w:cantSplit w:val="false"/>
        </w:trPr>
        <w:tc>
          <w:tcPr>
            <w:tcW w:w="22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  <w:lang w:val="ky-KG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y-KG"/>
              </w:rPr>
              <w:t xml:space="preserve">Сокращение временных издержек  участников ВЭД 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РБ.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  <w:lang w:val="ky-KG"/>
              </w:rPr>
            </w:pPr>
            <w:r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  <w:lang w:val="ky-KG"/>
              </w:rPr>
              <w:t xml:space="preserve">ГТС, ГПС, МТД, МЭ, </w:t>
            </w:r>
            <w:r>
              <w:rPr>
                <w:rFonts w:cs="Times New Roman" w:ascii="Times New Roman" w:hAnsi="Times New Roman"/>
                <w:sz w:val="24"/>
                <w:szCs w:val="24"/>
                <w:lang w:val="ky-KG"/>
              </w:rPr>
              <w:t>ГИВФБ,</w:t>
            </w:r>
            <w:r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  <w:lang w:val="ky-KG"/>
              </w:rPr>
              <w:t xml:space="preserve"> МЗ</w:t>
            </w:r>
          </w:p>
        </w:tc>
      </w:tr>
      <w:tr>
        <w:trPr>
          <w:cantSplit w:val="false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Создана инфраструктура трансграничных торгово-рыночных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комплексов (ТРК), введены в работу рынки трансграничной торговли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МЭ, МИД, ГТС, ОМСУ</w:t>
            </w:r>
          </w:p>
        </w:tc>
      </w:tr>
      <w:tr>
        <w:trPr>
          <w:trHeight w:val="1920" w:hRule="atLeast"/>
          <w:cantSplit w:val="false"/>
        </w:trPr>
        <w:tc>
          <w:tcPr>
            <w:tcW w:w="2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цифровой платформы, баз данных (100% оцифровка 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привлечённые средства.</w:t>
            </w:r>
          </w:p>
          <w:p>
            <w:pPr>
              <w:pStyle w:val="Normal"/>
              <w:tabs>
                <w:tab w:val="left" w:pos="2200" w:leader="none"/>
              </w:tabs>
              <w:spacing w:before="0" w:after="0"/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  <w:t>Партнёры по развитию</w:t>
            </w:r>
          </w:p>
          <w:p>
            <w:pPr>
              <w:pStyle w:val="TkTablica"/>
              <w:spacing w:before="0" w:after="0"/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</w:rPr>
              <w:t>«Digital CASA (Центральная Азия - Южная Азия) – Кыргызская Республика» Проект «План действий по открытым данным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ТПП</w:t>
            </w:r>
          </w:p>
        </w:tc>
      </w:tr>
      <w:tr>
        <w:trPr>
          <w:trHeight w:val="1452" w:hRule="atLeast"/>
          <w:cantSplit w:val="false"/>
        </w:trPr>
        <w:tc>
          <w:tcPr>
            <w:tcW w:w="22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предприятий и номенклатуры продукции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привлечённые средства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ТПП</w:t>
            </w:r>
          </w:p>
        </w:tc>
      </w:tr>
      <w:tr>
        <w:trPr>
          <w:cantSplit w:val="false"/>
        </w:trPr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ind w:left="0" w:right="0" w:firstLine="108"/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. Трудовые отношения, поддержка и содействие  в подготовке, переподготовке кадров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вновь созданных рабочих мест в МСП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МБ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МЭ(*), ГКПЭН, МСХППМ, МКИТ, ПППКР в областях, ОМСУ (по согласованию)</w:t>
            </w:r>
          </w:p>
        </w:tc>
      </w:tr>
      <w:tr>
        <w:trPr>
          <w:cantSplit w:val="false"/>
        </w:trPr>
        <w:tc>
          <w:tcPr>
            <w:tcW w:w="2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. Развитие предпринимательских навыков, предпринимательской инициативы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МСП в структуре ВВП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МБ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МЭ(*), министерства и ведомства</w:t>
            </w:r>
          </w:p>
        </w:tc>
      </w:tr>
      <w:tr>
        <w:trPr>
          <w:cantSplit w:val="false"/>
        </w:trPr>
        <w:tc>
          <w:tcPr>
            <w:tcW w:w="22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Внедрение предприятиями экспортёрами пищевой промышленности   систем управления качеством.</w:t>
            </w:r>
          </w:p>
        </w:tc>
        <w:tc>
          <w:tcPr>
            <w:tcW w:w="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Привлечённые средства</w:t>
            </w:r>
          </w:p>
        </w:tc>
        <w:tc>
          <w:tcPr>
            <w:tcW w:w="2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АПЗИ(*), МСХППМ, МЭ</w:t>
            </w:r>
          </w:p>
        </w:tc>
      </w:tr>
      <w:tr>
        <w:trPr>
          <w:cantSplit w:val="false"/>
        </w:trPr>
        <w:tc>
          <w:tcPr>
            <w:tcW w:w="2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. Оптимизация лицензионно-разрешительной системы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лицензируемых видов  деятельности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привлечённые средства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МЭ, МВК, министерства и ведомства  лицензиары, (бизнес ассоциации)</w:t>
            </w:r>
          </w:p>
        </w:tc>
      </w:tr>
      <w:tr>
        <w:trPr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Сокращение регуляторных издержек сторон 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МЭ, МВК, министерства и ведомства  лицензиары, (бизнес ассоциации</w:t>
            </w:r>
          </w:p>
        </w:tc>
      </w:tr>
      <w:tr>
        <w:trPr>
          <w:trHeight w:val="1440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временных и финансовых затрат </w:t>
            </w:r>
          </w:p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привлечённые средства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ГКИТС, МЭ, ГО лицензиары, ГП «Тундук, (а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ссоциации)</w:t>
            </w:r>
          </w:p>
        </w:tc>
      </w:tr>
      <w:tr>
        <w:trPr>
          <w:trHeight w:val="1752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требуемых документов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привлечённые средства</w:t>
            </w:r>
          </w:p>
        </w:tc>
        <w:tc>
          <w:tcPr>
            <w:tcW w:w="204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88" w:hRule="atLeast"/>
          <w:cantSplit w:val="false"/>
        </w:trPr>
        <w:tc>
          <w:tcPr>
            <w:tcW w:w="2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Оптимизация контрольно-надзорной системы регулирования предпринимательства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cs="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избыточных требований и введение цифровых форм контроля</w:t>
            </w:r>
            <w:r>
              <w:rPr>
                <w:rFonts w:cs="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привлечённые средства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МЭ, ГКО, министерства и ведомства, (бизнес ассоциации)</w:t>
            </w:r>
          </w:p>
        </w:tc>
      </w:tr>
      <w:tr>
        <w:trPr>
          <w:trHeight w:val="1587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cs="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>Сокращение затрат бизнеса на устранение нарушений  требований.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республиканского бюджета, привлеченны</w:t>
            </w:r>
          </w:p>
          <w:p>
            <w:pPr>
              <w:pStyle w:val="TkTablica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 средства, средства партнеров по развитию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outlineLvl w:val="1"/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МЭ, ГКО, (ассоциации)</w:t>
            </w:r>
          </w:p>
        </w:tc>
      </w:tr>
      <w:tr>
        <w:trPr>
          <w:trHeight w:val="1469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cs="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 xml:space="preserve">Сокращение количества нарушений </w:t>
            </w:r>
          </w:p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 на 20</w:t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75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>окращения практик проведения документальных проверок и контактов с ГКО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ГКИТС, МЭ, ГКО, ГНС</w:t>
            </w:r>
          </w:p>
        </w:tc>
      </w:tr>
      <w:tr>
        <w:trPr>
          <w:trHeight w:val="3216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 xml:space="preserve">Внедрение цифровой маркировки товаров на основе потребности бизнеса (запуск не менее двух пилотных проектов)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outlineLvl w:val="1"/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МЭ,</w:t>
            </w:r>
          </w:p>
          <w:p>
            <w:pPr>
              <w:pStyle w:val="Normal"/>
              <w:spacing w:lineRule="auto" w:line="240" w:before="0" w:after="0"/>
              <w:jc w:val="both"/>
              <w:outlineLvl w:val="1"/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ГКО </w:t>
            </w:r>
          </w:p>
          <w:p>
            <w:pPr>
              <w:pStyle w:val="Normal"/>
              <w:spacing w:lineRule="auto" w:line="240" w:before="0" w:after="0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(ассоциации), ГП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«Тундук</w:t>
            </w:r>
          </w:p>
        </w:tc>
      </w:tr>
      <w:tr>
        <w:trPr>
          <w:trHeight w:val="1104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Принятие  НПА и практическая реализация формы цифрового контроля маркировки товаров. 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РБ, средства партнёров по развитию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outlineLvl w:val="1"/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МЭ, ГНС,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ГКО </w:t>
            </w:r>
          </w:p>
          <w:p>
            <w:pPr>
              <w:pStyle w:val="Normal"/>
              <w:spacing w:lineRule="auto" w:line="240" w:before="0" w:after="0"/>
              <w:jc w:val="both"/>
              <w:outlineLvl w:val="1"/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(ассоциации), ГП</w:t>
            </w:r>
          </w:p>
          <w:p>
            <w:pPr>
              <w:pStyle w:val="TkTablica"/>
              <w:spacing w:lineRule="auto" w:line="240" w:before="0" w:after="0"/>
              <w:jc w:val="both"/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«Тундук</w:t>
            </w:r>
          </w:p>
        </w:tc>
      </w:tr>
      <w:tr>
        <w:trPr>
          <w:trHeight w:val="1920" w:hRule="atLeast"/>
          <w:cantSplit w:val="false"/>
        </w:trPr>
        <w:tc>
          <w:tcPr>
            <w:tcW w:w="2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ind w:left="0" w:right="0" w:firstLine="251"/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Доступность основных ресурсов и планирование развития территорий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 xml:space="preserve">Вовлечение не менее 10 простаивающих предприятий в экономическую деятельность.  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ГКПЭН,  ГААСЖКХ, ОМСУ, АПЗИ</w:t>
            </w:r>
          </w:p>
        </w:tc>
      </w:tr>
      <w:tr>
        <w:trPr>
          <w:trHeight w:val="3192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>Формирование не менее 10 новых промышленных зон, зон торговли с развитой инфраструктурой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РБ, МБ, привлечен-ные средства,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собственные средства городов и айылных аймаков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ГААСЖКХ,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АПЗИ, МЭ, ГКПЭН, ГКИТС, ОМСУ</w:t>
            </w:r>
          </w:p>
        </w:tc>
      </w:tr>
      <w:tr>
        <w:trPr>
          <w:trHeight w:val="696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cs="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>Улучшение позиций в рейтинге «</w:t>
            </w:r>
            <w:r>
              <w:rPr>
                <w:rFonts w:cs="" w:ascii="Times New Roman" w:hAnsi="Times New Roman"/>
                <w:color w:val="000000"/>
                <w:sz w:val="24"/>
                <w:szCs w:val="24"/>
                <w:lang w:val="en-US"/>
              </w:rPr>
              <w:t>DOING</w:t>
            </w: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" w:ascii="Times New Roman" w:hAnsi="Times New Roman"/>
                <w:color w:val="000000"/>
                <w:sz w:val="24"/>
                <w:szCs w:val="24"/>
                <w:lang w:val="en-US"/>
              </w:rPr>
              <w:t>BUSINESS</w:t>
            </w: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>» подключение к сетям.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республиканского бюджета, привлеченные средства, средства партнеров по развитию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ГААСЖКХ,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МЭ, ГКПЭН, ГААР</w:t>
            </w:r>
          </w:p>
        </w:tc>
      </w:tr>
      <w:tr>
        <w:trPr>
          <w:trHeight w:val="1296" w:hRule="atLeast"/>
          <w:cantSplit w:val="false"/>
        </w:trPr>
        <w:tc>
          <w:tcPr>
            <w:tcW w:w="2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Разделы  </w:t>
            </w:r>
            <w:r>
              <w:rPr>
                <w:rFonts w:eastAsia="Times New Roman" w:ascii="Times New Roman" w:hAnsi="Times New Roman"/>
                <w:b/>
                <w:bCs/>
                <w:color w:val="2B2B2B"/>
                <w:sz w:val="24"/>
                <w:szCs w:val="24"/>
                <w:lang w:val="en-US" w:eastAsia="ru-RU"/>
              </w:rPr>
              <w:t>VII</w:t>
            </w:r>
            <w:r>
              <w:rPr>
                <w:rFonts w:eastAsia="Times New Roman" w:ascii="Times New Roman" w:hAnsi="Times New Roman"/>
                <w:b/>
                <w:bCs/>
                <w:color w:val="2B2B2B"/>
                <w:sz w:val="24"/>
                <w:szCs w:val="24"/>
                <w:lang w:eastAsia="ru-RU"/>
              </w:rPr>
              <w:t>. Налоговые правоотношения и социальные отчисления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не наблюдаемой экономики к ВВП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МБ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МЭ(*), министерства и ведомства</w:t>
            </w:r>
          </w:p>
        </w:tc>
      </w:tr>
      <w:tr>
        <w:trPr>
          <w:trHeight w:val="492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cs="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>Улучшение позиций в рейтинге «</w:t>
            </w:r>
            <w:r>
              <w:rPr>
                <w:rFonts w:cs="" w:ascii="Times New Roman" w:hAnsi="Times New Roman"/>
                <w:color w:val="000000"/>
                <w:sz w:val="24"/>
                <w:szCs w:val="24"/>
                <w:lang w:val="en-US"/>
              </w:rPr>
              <w:t>DOING</w:t>
            </w: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" w:ascii="Times New Roman" w:hAnsi="Times New Roman"/>
                <w:color w:val="000000"/>
                <w:sz w:val="24"/>
                <w:szCs w:val="24"/>
                <w:lang w:val="en-US"/>
              </w:rPr>
              <w:t>BUSINESS</w:t>
            </w: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  <w:t>» подключение к сетям.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средства партнёров по развитию.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МЭ, ГНС</w:t>
            </w:r>
          </w:p>
        </w:tc>
      </w:tr>
      <w:tr>
        <w:trPr>
          <w:trHeight w:val="492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outlineLvl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налоговых поступлений к ВВП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0" w:after="0"/>
              <w:outlineLvl w:val="1"/>
              <w:rPr>
                <w:rFonts w:cs="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outlineLvl w:val="1"/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  <w:t>МЭ,</w:t>
            </w:r>
          </w:p>
          <w:p>
            <w:pPr>
              <w:pStyle w:val="Normal"/>
              <w:spacing w:lineRule="auto" w:line="240" w:before="0" w:after="0"/>
              <w:outlineLvl w:val="1"/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  <w:t>ГНС,</w:t>
            </w:r>
          </w:p>
          <w:p>
            <w:pPr>
              <w:pStyle w:val="Normal"/>
              <w:spacing w:lineRule="auto" w:line="240" w:before="0" w:after="0"/>
              <w:outlineLvl w:val="1"/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  <w:t>ГКПЭН, МСХППМ,</w:t>
            </w:r>
          </w:p>
          <w:p>
            <w:pPr>
              <w:pStyle w:val="TkTablica"/>
              <w:spacing w:lineRule="auto" w:line="240" w:before="0" w:after="0"/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2B2B2B"/>
                <w:sz w:val="24"/>
                <w:szCs w:val="24"/>
              </w:rPr>
              <w:t>(ассоциации)</w:t>
            </w:r>
          </w:p>
        </w:tc>
      </w:tr>
      <w:tr>
        <w:trPr>
          <w:trHeight w:val="492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уровня теневой экономики  </w:t>
            </w:r>
          </w:p>
          <w:p>
            <w:pPr>
              <w:pStyle w:val="Normal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МБ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МЭ*, соответствующие министерства и ведомства</w:t>
            </w:r>
          </w:p>
        </w:tc>
      </w:tr>
      <w:tr>
        <w:trPr>
          <w:trHeight w:val="492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2B2B2B"/>
                <w:sz w:val="24"/>
                <w:szCs w:val="24"/>
                <w:lang w:eastAsia="ru-RU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«налогового раздела» раздела сайте:  «Proverka.gov.kg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Привлечённые средства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МЭ,</w:t>
            </w:r>
          </w:p>
          <w:p>
            <w:pPr>
              <w:pStyle w:val="Normal"/>
              <w:spacing w:before="0"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ГНС</w:t>
            </w:r>
          </w:p>
        </w:tc>
      </w:tr>
      <w:tr>
        <w:trPr>
          <w:trHeight w:val="1647" w:hRule="atLeast"/>
          <w:cantSplit w:val="false"/>
        </w:trPr>
        <w:tc>
          <w:tcPr>
            <w:tcW w:w="23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. Укрепление потенциала бизнес ассоциаций,  развитие саморегулирования, становление института Бизнес омбудсмена и ГЧД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Появление и функционирование не менее 5 саморегулируемых организаций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92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Принятие</w:t>
            </w:r>
            <w:r>
              <w:rPr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НПА регламентирующих деятельность  саморегулируемых организаций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 и привлечённые средства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МЭ, МЮ</w:t>
            </w:r>
          </w:p>
        </w:tc>
      </w:tr>
      <w:tr>
        <w:trPr>
          <w:trHeight w:val="492" w:hRule="atLeast"/>
          <w:cantSplit w:val="false"/>
        </w:trPr>
        <w:tc>
          <w:tcPr>
            <w:tcW w:w="23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бизнес ассоциаций  в регионах 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ОМСУ</w:t>
            </w:r>
          </w:p>
        </w:tc>
      </w:tr>
      <w:tr>
        <w:trPr>
          <w:trHeight w:val="316" w:hRule="atLeast"/>
          <w:cantSplit w:val="false"/>
        </w:trPr>
        <w:tc>
          <w:tcPr>
            <w:tcW w:w="2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Сектора     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площади применения систем капельного орошения</w:t>
            </w:r>
          </w:p>
        </w:tc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9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МБ, привлеченные средства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МСХППМ*, ПППКР в областях, ОМСУ (по согласованию)</w:t>
            </w:r>
          </w:p>
        </w:tc>
      </w:tr>
      <w:tr>
        <w:trPr>
          <w:trHeight w:val="1776" w:hRule="atLeast"/>
          <w:cantSplit w:val="false"/>
        </w:trPr>
        <w:tc>
          <w:tcPr>
            <w:tcW w:w="2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ind w:left="0" w:right="82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Ирригация в сельском хозяйстве</w:t>
            </w:r>
          </w:p>
        </w:tc>
        <w:tc>
          <w:tcPr>
            <w:tcW w:w="192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3" w:hRule="atLeast"/>
          <w:cantSplit w:val="false"/>
        </w:trPr>
        <w:tc>
          <w:tcPr>
            <w:tcW w:w="2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ind w:left="0" w:right="82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Малая энергетика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200" w:leader="none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 методика (НПА) о тарифе, упрощены лицензионные требования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Отраслевые министерства, ведомства </w:t>
            </w:r>
          </w:p>
        </w:tc>
      </w:tr>
      <w:tr>
        <w:trPr>
          <w:trHeight w:val="1140" w:hRule="atLeast"/>
          <w:cantSplit w:val="false"/>
        </w:trPr>
        <w:tc>
          <w:tcPr>
            <w:tcW w:w="2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0" w:right="82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отраслевой и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региональной поддержки МСП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МСП в структуре ВВП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РБ, МБ</w:t>
            </w:r>
          </w:p>
        </w:tc>
        <w:tc>
          <w:tcPr>
            <w:tcW w:w="20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kTablica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МЭ*, соответствующие министерства и ведомства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f68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" w:customStyle="1">
    <w:name w:val="Стандартный HTML Знак"/>
    <w:uiPriority w:val="99"/>
    <w:link w:val="HTML"/>
    <w:rsid w:val="00941c9e"/>
    <w:basedOn w:val="DefaultParagraphFont"/>
    <w:rPr>
      <w:rFonts w:ascii="Courier New" w:hAnsi="Courier New" w:eastAsia="Times New Roman" w:cs="Courier New"/>
      <w:b/>
      <w:sz w:val="20"/>
      <w:szCs w:val="20"/>
      <w:lang w:eastAsia="ru-RU"/>
    </w:rPr>
  </w:style>
  <w:style w:type="character" w:styleId="Style14" w:customStyle="1">
    <w:name w:val="Без интервала Знак"/>
    <w:uiPriority w:val="99"/>
    <w:link w:val="a4"/>
    <w:locked/>
    <w:rsid w:val="005b2b72"/>
    <w:rPr/>
  </w:style>
  <w:style w:type="character" w:styleId="ListLabel1">
    <w:name w:val="ListLabel 1"/>
    <w:rPr>
      <w:rFonts w:eastAsia="Calibri"/>
      <w:color w:val="000000"/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TkTablica" w:customStyle="1">
    <w:name w:val="_Текст таблицы (tkTablica)"/>
    <w:rsid w:val="000f68ed"/>
    <w:basedOn w:val="Normal"/>
    <w:pPr>
      <w:spacing w:before="0" w:after="60"/>
    </w:pPr>
    <w:rPr>
      <w:rFonts w:ascii="Arial" w:hAnsi="Arial" w:eastAsia="Times New Roman" w:cs="Arial"/>
      <w:sz w:val="20"/>
      <w:szCs w:val="20"/>
      <w:lang w:eastAsia="ru-RU"/>
    </w:rPr>
  </w:style>
  <w:style w:type="paragraph" w:styleId="HTMLPreformatted">
    <w:name w:val="HTML Preformatted"/>
    <w:uiPriority w:val="99"/>
    <w:unhideWhenUsed/>
    <w:link w:val="HTML0"/>
    <w:rsid w:val="00941c9e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b/>
      <w:sz w:val="20"/>
      <w:szCs w:val="20"/>
      <w:lang w:eastAsia="ru-RU"/>
    </w:rPr>
  </w:style>
  <w:style w:type="paragraph" w:styleId="ListParagraph">
    <w:name w:val="List Paragraph"/>
    <w:uiPriority w:val="34"/>
    <w:qFormat/>
    <w:rsid w:val="00256762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99"/>
    <w:qFormat/>
    <w:link w:val="a5"/>
    <w:rsid w:val="005b2b72"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3dd9"/>
    <w:rPr>
      <w:sz w:val="24"/>
      <w:szCs w:val="24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4918B-0663-4BC2-A706-6F884B17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2019-05-07T11:49:00Z</dcterms:created>
  <dc:creator>Ulan Ulan</dc:creator>
  <dc:language>ru-RU</dc:language>
  <cp:lastModifiedBy>stajer319</cp:lastModifiedBy>
  <cp:lastPrinted>2019-05-17T04:10:00Z</cp:lastPrinted>
  <dcterms:modified xsi:type="dcterms:W3CDTF">2019-05-17T06:19:00Z</dcterms:modified>
  <cp:revision>140</cp:revision>
</cp:coreProperties>
</file>