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>
      <w:pPr>
        <w:pStyle w:val="Normal"/>
        <w:spacing w:lineRule="auto" w:line="24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1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Государственная</w:t>
      </w:r>
      <w:r>
        <w:rPr>
          <w:rFonts w:ascii="Times New Roman" w:hAnsi="Times New Roman"/>
          <w:b/>
          <w:szCs w:val="28"/>
          <w:lang w:val="ky-KG"/>
        </w:rPr>
        <w:t>ая</w:t>
      </w:r>
      <w:r>
        <w:rPr>
          <w:rFonts w:ascii="Times New Roman" w:hAnsi="Times New Roman"/>
          <w:b/>
          <w:szCs w:val="28"/>
        </w:rPr>
        <w:t xml:space="preserve"> служба регулирования и надзора за финансовым рынком при Правительстве Кыргызской Республики</w:t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 w:val="44"/>
          <w:szCs w:val="28"/>
        </w:rPr>
      </w:pPr>
      <w:bookmarkStart w:id="0" w:name="__DdeLink__9462_247326030"/>
      <w:r>
        <w:rPr>
          <w:rFonts w:ascii="Times New Roman" w:hAnsi="Times New Roman"/>
          <w:b/>
          <w:sz w:val="44"/>
          <w:szCs w:val="28"/>
        </w:rPr>
        <w:t>Стратегия развития небанковского финансового рынка К</w:t>
      </w:r>
      <w:bookmarkEnd w:id="0"/>
      <w:r>
        <w:rPr>
          <w:rFonts w:ascii="Times New Roman" w:hAnsi="Times New Roman"/>
          <w:b/>
          <w:sz w:val="44"/>
          <w:szCs w:val="28"/>
        </w:rPr>
        <w:t>ыргызской Республики на период 2019-2023 гг.</w:t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Бишкек </w:t>
        <w:br/>
        <w:t>август, 2019 год</w:t>
      </w:r>
    </w:p>
    <w:p>
      <w:pPr>
        <w:pStyle w:val="Normal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Оглавление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Введение………………………………………………………………………………………3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I. Оценка текущего состояния и основные проблемы небанковского финансового рынка Кыргызской Республики………………………………………………………….......4</w:t>
      </w:r>
    </w:p>
    <w:p>
      <w:pPr>
        <w:pStyle w:val="ListParagraph"/>
        <w:numPr>
          <w:ilvl w:val="0"/>
          <w:numId w:val="5"/>
        </w:numPr>
        <w:spacing w:before="0" w:after="160"/>
        <w:jc w:val="both"/>
        <w:rPr>
          <w:rFonts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Рынок ценных бумаг</w:t>
      </w:r>
      <w:r>
        <w:rPr>
          <w:rFonts w:ascii="Times New Roman" w:hAnsi="Times New Roman"/>
          <w:szCs w:val="24"/>
          <w:lang w:val="ru-RU"/>
        </w:rPr>
        <w:t>……………..………………………………..………………….5</w:t>
      </w:r>
    </w:p>
    <w:p>
      <w:pPr>
        <w:pStyle w:val="ListParagraph"/>
        <w:jc w:val="both"/>
        <w:rPr>
          <w:rFonts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Отсутствие на рынке в достаточном количестве доходных и относительно ликвидных финансовых инструментов</w:t>
      </w:r>
      <w:r>
        <w:rPr>
          <w:rFonts w:ascii="Times New Roman" w:hAnsi="Times New Roman"/>
          <w:szCs w:val="24"/>
          <w:lang w:val="ru-RU"/>
        </w:rPr>
        <w:t>……………………….……..……………....7</w:t>
      </w:r>
    </w:p>
    <w:p>
      <w:pPr>
        <w:pStyle w:val="ListParagraph"/>
        <w:jc w:val="both"/>
        <w:rPr>
          <w:rFonts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Недостаточный уровень знаний населения в вопросах инвестирования в ценные бумаги</w:t>
      </w:r>
      <w:r>
        <w:rPr>
          <w:rFonts w:ascii="Times New Roman" w:hAnsi="Times New Roman"/>
          <w:szCs w:val="24"/>
          <w:lang w:val="ru-RU"/>
        </w:rPr>
        <w:t>……………………………………………………………………..…………...7</w:t>
      </w:r>
    </w:p>
    <w:p>
      <w:pPr>
        <w:pStyle w:val="ListParagraph"/>
        <w:numPr>
          <w:ilvl w:val="0"/>
          <w:numId w:val="5"/>
        </w:numPr>
        <w:spacing w:before="0" w:after="160"/>
        <w:jc w:val="both"/>
        <w:rPr>
          <w:rFonts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Ломбардная деятельность</w:t>
      </w:r>
      <w:r>
        <w:rPr>
          <w:rFonts w:ascii="Times New Roman" w:hAnsi="Times New Roman"/>
          <w:szCs w:val="24"/>
          <w:lang w:val="ru-RU"/>
        </w:rPr>
        <w:t>……………………………………………..……………...8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Низкий уровень лицензированности ломбардов в Кыргызской Республике.…….9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Отсутствие утвержденного размера процента займа, выдаваемого ломбардами…9</w:t>
      </w:r>
    </w:p>
    <w:p>
      <w:pPr>
        <w:pStyle w:val="ListParagraph"/>
        <w:numPr>
          <w:ilvl w:val="0"/>
          <w:numId w:val="5"/>
        </w:numPr>
        <w:spacing w:before="0" w:after="160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Cs w:val="24"/>
        </w:rPr>
        <w:t>Страховая деятельность</w:t>
      </w:r>
      <w:r>
        <w:rPr>
          <w:rFonts w:cs="Times New Roman" w:ascii="Times New Roman" w:hAnsi="Times New Roman"/>
          <w:szCs w:val="24"/>
          <w:lang w:val="ru-RU"/>
        </w:rPr>
        <w:t>…………………………………..………………………...10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Отсутствие массовых видов страхования…………………………………...……..11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Отсутствие системы подготовки специалистов в области экономико-математических расчетов страховых обязательств (актуариев) ……………….…11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Отсутствие надежных финансовых инструментов долгосрочного размещения страховых резервов ………………………………..………….…………………….12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Неразвитость национального перестраховочного рынка …………………………12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Информационная закрытость рынка страховых услуг, создающая проблемы для потенциальных страхователей в выборе устойчивых страховых организаций ….13</w:t>
      </w:r>
    </w:p>
    <w:p>
      <w:pPr>
        <w:pStyle w:val="ListParagraph"/>
        <w:numPr>
          <w:ilvl w:val="0"/>
          <w:numId w:val="5"/>
        </w:numPr>
        <w:spacing w:before="0" w:after="160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Cs w:val="24"/>
        </w:rPr>
        <w:t>Накопительн</w:t>
      </w:r>
      <w:r>
        <w:rPr>
          <w:rFonts w:cs="Times New Roman" w:ascii="Times New Roman" w:hAnsi="Times New Roman"/>
          <w:szCs w:val="24"/>
          <w:lang w:val="ru-RU"/>
        </w:rPr>
        <w:t>ый</w:t>
      </w:r>
      <w:r>
        <w:rPr>
          <w:rFonts w:cs="Times New Roman" w:ascii="Times New Roman" w:hAnsi="Times New Roman"/>
          <w:szCs w:val="24"/>
        </w:rPr>
        <w:t xml:space="preserve"> пенсионн</w:t>
      </w:r>
      <w:r>
        <w:rPr>
          <w:rFonts w:cs="Times New Roman" w:ascii="Times New Roman" w:hAnsi="Times New Roman"/>
          <w:szCs w:val="24"/>
          <w:lang w:val="ru-RU"/>
        </w:rPr>
        <w:t>ый</w:t>
      </w: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  <w:lang w:val="ru-RU"/>
        </w:rPr>
        <w:t>фонд …………..………....………………….……...13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Низкий уровень пенсионного обеспечения……………....………………………...14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Низкий уровень заработной платы………………….…....………………….……..15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Недостаточное осознание населением преимуществ НПФ …….………………...15</w:t>
      </w:r>
    </w:p>
    <w:p>
      <w:pPr>
        <w:pStyle w:val="ListParagraph"/>
        <w:numPr>
          <w:ilvl w:val="0"/>
          <w:numId w:val="5"/>
        </w:numPr>
        <w:spacing w:before="0" w:after="160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</w:rPr>
        <w:t>Лотерейная деятельность</w:t>
      </w:r>
      <w:r>
        <w:rPr>
          <w:rFonts w:cs="Times New Roman" w:ascii="Times New Roman" w:hAnsi="Times New Roman"/>
          <w:szCs w:val="24"/>
          <w:lang w:val="ru-RU"/>
        </w:rPr>
        <w:t>…………………………..……....………………………..15</w:t>
      </w:r>
    </w:p>
    <w:p>
      <w:pPr>
        <w:pStyle w:val="ListParagraph"/>
        <w:spacing w:before="0" w:after="160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Низкий уровень доверия населения к лотерее, низкая заинтересованность……..15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II. Стратегические приоритеты развития небанковского финансового рынка ….17</w:t>
      </w:r>
    </w:p>
    <w:p>
      <w:pPr>
        <w:pStyle w:val="ListParagraph"/>
        <w:numPr>
          <w:ilvl w:val="0"/>
          <w:numId w:val="6"/>
        </w:numPr>
        <w:spacing w:before="0" w:after="160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</w:rPr>
        <w:t>Рынок ценных бумаг</w:t>
      </w:r>
      <w:r>
        <w:rPr>
          <w:rFonts w:cs="Times New Roman" w:ascii="Times New Roman" w:hAnsi="Times New Roman"/>
          <w:szCs w:val="24"/>
          <w:lang w:val="ru-RU"/>
        </w:rPr>
        <w:t xml:space="preserve"> ………………………..……....…………………………….....17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Цели, задачи и результаты развития рынка ценных бумаг………………………..17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Основные задачи развития рынка ценных бумаг..……………………..…………..19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Ожидаемые результаты ………………………..……....…………………………....20</w:t>
      </w:r>
    </w:p>
    <w:p>
      <w:pPr>
        <w:pStyle w:val="ListParagraph"/>
        <w:numPr>
          <w:ilvl w:val="0"/>
          <w:numId w:val="6"/>
        </w:numPr>
        <w:spacing w:before="0" w:after="160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Ломбардная деятельность …………………..……....……………………………....20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Цели и задачи…………………………..………..……....……………...…………....20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Основные этапы развития ломбардной деятельности…………………………......20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Ожидаемые результаты…………….…………..……....………………………....... 21</w:t>
      </w:r>
    </w:p>
    <w:p>
      <w:pPr>
        <w:pStyle w:val="ListParagraph"/>
        <w:numPr>
          <w:ilvl w:val="0"/>
          <w:numId w:val="6"/>
        </w:numPr>
        <w:spacing w:before="0" w:after="160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Страховая деятельность……………………..……....……….………………….......21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Цели и задачи………………………………...…..……....………………………......21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Основные этапы развития страховой деятельности………………………..……...21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Ожидаемые результаты…………………..……........…………………………….... 22</w:t>
      </w:r>
    </w:p>
    <w:p>
      <w:pPr>
        <w:pStyle w:val="ListParagraph"/>
        <w:numPr>
          <w:ilvl w:val="0"/>
          <w:numId w:val="6"/>
        </w:numPr>
        <w:spacing w:before="0" w:after="160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Накопительная пенсионная система………………….…..……....………………...23</w:t>
      </w:r>
    </w:p>
    <w:p>
      <w:pPr>
        <w:pStyle w:val="ListParagraph"/>
        <w:spacing w:before="0" w:after="160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Цели и задачи…………………..……....…………..…………………………..….....23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Ожидаемые результаты…………………..……....…………………..……….…..... 24</w:t>
      </w:r>
    </w:p>
    <w:p>
      <w:pPr>
        <w:pStyle w:val="ListParagraph"/>
        <w:numPr>
          <w:ilvl w:val="0"/>
          <w:numId w:val="6"/>
        </w:numPr>
        <w:spacing w:before="0" w:after="160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Лотерейная деятельность…………………..……....……………….…..………...... 24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Цели и задачи…………………..……....…………………………….……….…...... 24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Ожидаемые результаты…………………..……....…………………….…..……..... 25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III. Возможные риски и угрозы при реализации Стратегии и меры по их предупреждению…………………..……....……………………………………..…..</w:t>
      </w:r>
      <w:r>
        <w:rPr>
          <w:rFonts w:ascii="Times New Roman" w:hAnsi="Times New Roman"/>
          <w:sz w:val="24"/>
          <w:szCs w:val="24"/>
          <w:lang w:val="ky-KG"/>
        </w:rPr>
        <w:t>.....</w:t>
      </w:r>
      <w:r>
        <w:rPr>
          <w:rFonts w:ascii="Times New Roman" w:hAnsi="Times New Roman"/>
          <w:sz w:val="24"/>
          <w:szCs w:val="24"/>
        </w:rPr>
        <w:t>…..25</w:t>
      </w:r>
    </w:p>
    <w:p>
      <w:pPr>
        <w:pStyle w:val="ListParagraph"/>
        <w:jc w:val="both"/>
        <w:rPr>
          <w:rFonts w:cs="Times New Roman" w:ascii="Times New Roman" w:hAnsi="Times New Roman"/>
          <w:szCs w:val="24"/>
          <w:lang w:val="ru-RU"/>
        </w:rPr>
      </w:pPr>
      <w:r>
        <w:rPr>
          <w:rFonts w:cs="Times New Roman" w:ascii="Times New Roman" w:hAnsi="Times New Roman"/>
          <w:szCs w:val="24"/>
          <w:lang w:val="ru-RU"/>
        </w:rPr>
        <w:t>Политические и экономические риски…………………..……....……..…………..26</w:t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Введение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Данная Стратегия представляет собой видение развития небанковского финансового рынка Кыргызской Республики на 2019-2023 годы и согласуется с Программой Правительства Кыргызской Республики «Единство. Доверие. Созидание», утвержденной постановлением Жогорку Кенеша Кыргызской Республики от 20 апреля 2018 года № 2377-VI.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Основной целью Стратегии развития небанковского финансового рынка на период 2019-2023 годы (далее – Стратегия) является обеспечение ускоренного экономического роста через достижение устойчивого и эффективного функционирования небанковского финансового рынка, удовлетворяюще</w:t>
      </w:r>
      <w:r>
        <w:rPr>
          <w:rFonts w:ascii="Times New Roman" w:hAnsi="Times New Roman"/>
          <w:szCs w:val="28"/>
          <w:lang w:val="ky-KG"/>
        </w:rPr>
        <w:t>го</w:t>
      </w:r>
      <w:r>
        <w:rPr>
          <w:rFonts w:ascii="Times New Roman" w:hAnsi="Times New Roman"/>
          <w:szCs w:val="28"/>
        </w:rPr>
        <w:t xml:space="preserve"> потребностям реального сектора экономики в финансовых ресурсах, предоставляюще</w:t>
      </w:r>
      <w:r>
        <w:rPr>
          <w:rFonts w:ascii="Times New Roman" w:hAnsi="Times New Roman"/>
          <w:szCs w:val="28"/>
          <w:lang w:val="ky-KG"/>
        </w:rPr>
        <w:t>го</w:t>
      </w:r>
      <w:r>
        <w:rPr>
          <w:rFonts w:ascii="Times New Roman" w:hAnsi="Times New Roman"/>
          <w:szCs w:val="28"/>
        </w:rPr>
        <w:t xml:space="preserve"> качественные услуги в условиях конкурентной среды и обеспечивающе</w:t>
      </w:r>
      <w:r>
        <w:rPr>
          <w:rFonts w:ascii="Times New Roman" w:hAnsi="Times New Roman"/>
          <w:szCs w:val="28"/>
          <w:lang w:val="ky-KG"/>
        </w:rPr>
        <w:t>го</w:t>
      </w:r>
      <w:r>
        <w:rPr>
          <w:rFonts w:ascii="Times New Roman" w:hAnsi="Times New Roman"/>
          <w:szCs w:val="28"/>
        </w:rPr>
        <w:t xml:space="preserve"> трансформацию сбережений в инвестиции.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Без формирования благоприятного инвестиционного климата невозможно качественно повысить ликвидность рынка финансовых инструментов и привлекательность долгосрочных инвестиций, расширить спектр инструментов, обращающихся на фондовом рынке, перечень операций и оказываемых услуг, а также создать условия для преимущественного развития организованного рынка финансовых инструментов.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настоящее время необходимо принятие мер, направленных на создание более привлекательного инвестиционного климата на финансовом рынке.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Особенностью данного документа является его новизна, так как ранее разрабатывались и реализовывались отраслевые стратегические документы в отдельно взятых секторах небанковского финансового рынка. В связи с этим, для анализа текущего состояния дан краткий обзор основных этапов развития и современного состояния отдельных сегментов небанковского финансового рынка.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разработке Стратегии учитывались существующие утвержденные отраслевые стратегические программы, однако более широкий комплексный подход позволил выявить общие тенденции, на основе которых сформулированы долгосрочные цели развития финансовой системы в целом, определены задачи и стратегические приоритеты по их достижению на 2019-2023 годы.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Достижение в среднесрочном периоде поставленных целей и задач данной Стратегии позволит повысить значение и влияние небанковского финансового рынка на экономический рост страны и создаст условия для повышения уровня и качества жизни граждан.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Раздел </w:t>
      </w:r>
      <w:r>
        <w:rPr>
          <w:rFonts w:ascii="Times New Roman" w:hAnsi="Times New Roman"/>
          <w:b/>
          <w:szCs w:val="28"/>
          <w:lang w:val="en-US"/>
        </w:rPr>
        <w:t>I</w:t>
      </w:r>
      <w:r>
        <w:rPr>
          <w:rFonts w:ascii="Times New Roman" w:hAnsi="Times New Roman"/>
          <w:b/>
          <w:szCs w:val="28"/>
        </w:rPr>
        <w:t xml:space="preserve">. Оценка текущего состояния и основные проблемы небанковского финансового рынка Кыргызской Республики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 Рынок ценных бумаг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Анализ текущего состояния финансовой системы позволяет сделать вывод, что в республике имеется достаточно проработанная институциональная и законодательная база для функционирования финансовой системы. Однако, как показывают статистические данные, объем операций на финансовом рынке в республике незначителен, количество сделок и объем операций на рынке ценных бумаг, страхования, а также пенсионных накоплений и количество негосударственных пенсионных фондов значительно ниже, чем в других странах с переходной экономикой.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 xml:space="preserve">В настоящее время в Кыргызской Республике сформирована и продолжает развиваться инфраструктура рынка ценных бумаг, отвечающая общепринятым международным стандартам. На национальном фондовом рынке представлены практически все виды профессиональной деятельности, которые классически существуют в развитых рынках. 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По состоянию на 1 января 2019 года профессиональную деятельность на рынке ценных бумаг Кыргызской Республики осуществляют 74 юридических лиц</w:t>
      </w:r>
      <w:r>
        <w:rPr>
          <w:rFonts w:ascii="Times New Roman" w:hAnsi="Times New Roman"/>
          <w:color w:val="2B2B2B"/>
          <w:szCs w:val="28"/>
          <w:lang w:val="ky-KG"/>
        </w:rPr>
        <w:t>а</w:t>
      </w:r>
      <w:r>
        <w:rPr>
          <w:rFonts w:ascii="Times New Roman" w:hAnsi="Times New Roman"/>
          <w:color w:val="2B2B2B"/>
          <w:szCs w:val="28"/>
        </w:rPr>
        <w:t xml:space="preserve">. Выдано 108 лицензий, в том числе, на осуществление брокерской деятельности - 35, на осуществление дилерской деятельности - 37, управление инвестиционными активами - 11, на ведение реестра владельцев ценных бумаг - 16, в качестве инвестиционного фонда - 4, депозитарной деятельности - 3, организации торговли на рынке ценных бумаг - 2. 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За 2018 год объем торгов с ценными бумагами на рынке ценных бумаг составил 283 052 591 238 сомов. Количество заключенных сделок с ценными бумагами за отчетный период составило 4 710.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</w:r>
    </w:p>
    <w:p>
      <w:pPr>
        <w:pStyle w:val="Normal"/>
        <w:spacing w:lineRule="auto" w:line="240"/>
        <w:jc w:val="right"/>
        <w:outlineLvl w:val="0"/>
        <w:rPr>
          <w:rFonts w:ascii="Times New Roman" w:hAnsi="Times New Roman"/>
          <w:b/>
          <w:i/>
          <w:szCs w:val="28"/>
          <w:lang w:eastAsia="en-US"/>
        </w:rPr>
      </w:pPr>
      <w:r>
        <w:rPr>
          <w:rFonts w:ascii="Times New Roman" w:hAnsi="Times New Roman"/>
          <w:b/>
          <w:i/>
          <w:szCs w:val="28"/>
          <w:lang w:eastAsia="en-US"/>
        </w:rPr>
        <w:t>Диаграмма 1.1</w:t>
      </w:r>
    </w:p>
    <w:p>
      <w:pPr>
        <w:pStyle w:val="Normal"/>
        <w:shd w:fill="FFFFFF" w:val="clear"/>
        <w:spacing w:lineRule="auto" w:line="240"/>
        <w:outlineLvl w:val="1"/>
        <w:rPr/>
      </w:pPr>
      <w:r>
        <w:rPr/>
        <w:drawing>
          <wp:inline distT="0" distB="0" distL="0" distR="0">
            <wp:extent cx="5705475" cy="268605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Анализ биржевых сделок на первичном и вторичном рынке свидетельствует о том, что на 31 декабря 2018 года в структуре объема торгов преобладал объем сделок, совершенных на первичном рынке.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Объем биржевых сделок на вторичном рынке ценных бумаг, характеризующий изменение в структуре собственников, составил 746 732 100, 87 сомов, или 0,3</w:t>
      </w:r>
      <w:r>
        <w:rPr>
          <w:rFonts w:ascii="Times New Roman" w:hAnsi="Times New Roman"/>
          <w:color w:val="2B2B2B"/>
          <w:szCs w:val="28"/>
          <w:lang w:val="ky-KG"/>
        </w:rPr>
        <w:t xml:space="preserve"> </w:t>
      </w:r>
      <w:r>
        <w:rPr>
          <w:rFonts w:ascii="Times New Roman" w:hAnsi="Times New Roman"/>
          <w:color w:val="2B2B2B"/>
          <w:szCs w:val="28"/>
        </w:rPr>
        <w:t>% от общего объема торгов. Количество заключенных сделок на вторичном рынке составило 2202.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Объем биржевых сделок на первичном рынке, за счет которого происходит привлечение финансовых ресурсов или перераспределение инвестиционного капитала, составил 3 037 093 975,5 сомов, или 1,1</w:t>
      </w:r>
      <w:r>
        <w:rPr>
          <w:rFonts w:ascii="Times New Roman" w:hAnsi="Times New Roman"/>
          <w:color w:val="2B2B2B"/>
          <w:szCs w:val="28"/>
          <w:lang w:val="ky-KG"/>
        </w:rPr>
        <w:t xml:space="preserve"> </w:t>
      </w:r>
      <w:r>
        <w:rPr>
          <w:rFonts w:ascii="Times New Roman" w:hAnsi="Times New Roman"/>
          <w:color w:val="2B2B2B"/>
          <w:szCs w:val="28"/>
        </w:rPr>
        <w:t>% от общего объема торгов. Количество заключенных сделок на первичном рынке составило 751.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 xml:space="preserve">Объем внебиржевого рынка составил 279 250 765 162 сомов, или </w:t>
      </w:r>
      <w:r>
        <w:rPr>
          <w:rFonts w:ascii="Times New Roman" w:hAnsi="Times New Roman"/>
          <w:color w:val="2B2B2B"/>
          <w:szCs w:val="28"/>
          <w:lang w:val="ky-KG"/>
        </w:rPr>
        <w:t xml:space="preserve">  </w:t>
      </w:r>
      <w:r>
        <w:rPr>
          <w:rFonts w:ascii="Times New Roman" w:hAnsi="Times New Roman"/>
          <w:color w:val="2B2B2B"/>
          <w:szCs w:val="28"/>
        </w:rPr>
        <w:t>50,6</w:t>
      </w:r>
      <w:r>
        <w:rPr>
          <w:rFonts w:ascii="Times New Roman" w:hAnsi="Times New Roman"/>
          <w:color w:val="2B2B2B"/>
          <w:szCs w:val="28"/>
          <w:lang w:val="ky-KG"/>
        </w:rPr>
        <w:t xml:space="preserve"> </w:t>
      </w:r>
      <w:r>
        <w:rPr>
          <w:rFonts w:ascii="Times New Roman" w:hAnsi="Times New Roman"/>
          <w:color w:val="2B2B2B"/>
          <w:szCs w:val="28"/>
        </w:rPr>
        <w:t>% от общего объема торгов. Количество заключенных сделок на внебиржевом рынке составило 859.</w:t>
      </w:r>
    </w:p>
    <w:p>
      <w:pPr>
        <w:pStyle w:val="Normal"/>
        <w:spacing w:lineRule="auto" w:line="240"/>
        <w:jc w:val="right"/>
        <w:outlineLvl w:val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</w:r>
    </w:p>
    <w:p>
      <w:pPr>
        <w:pStyle w:val="Normal"/>
        <w:spacing w:lineRule="auto" w:line="240"/>
        <w:jc w:val="right"/>
        <w:outlineLvl w:val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Таблица 1.1 </w:t>
      </w:r>
    </w:p>
    <w:tbl>
      <w:tblPr>
        <w:jc w:val="left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00"/>
        <w:gridCol w:w="1304"/>
        <w:gridCol w:w="1276"/>
        <w:gridCol w:w="1558"/>
        <w:gridCol w:w="1133"/>
        <w:gridCol w:w="1104"/>
        <w:gridCol w:w="996"/>
      </w:tblGrid>
      <w:tr>
        <w:trPr>
          <w:trHeight w:val="422" w:hRule="atLeast"/>
          <w:cantSplit w:val="false"/>
        </w:trPr>
        <w:tc>
          <w:tcPr>
            <w:tcW w:w="90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Общий объем сделок с разбивкой на первичный и вторичные рынки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ky-KG"/>
              </w:rPr>
              <w:t xml:space="preserve"> (тыс сом)</w:t>
            </w:r>
          </w:p>
        </w:tc>
      </w:tr>
      <w:tr>
        <w:trPr>
          <w:trHeight w:val="1688" w:hRule="atLeast"/>
          <w:cantSplit w:val="false"/>
        </w:trPr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Общий объем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ind w:left="-79" w:right="-108" w:hanging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Объем первичного рынка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ind w:left="-78" w:right="-108" w:firstLine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Объем вторичного рынка           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Объем внебир-жевого рынка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Объем первич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ного рынка в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Объем вторич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ного рынка в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Объем внебир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жевого рынка в %</w:t>
            </w:r>
          </w:p>
        </w:tc>
      </w:tr>
      <w:tr>
        <w:trPr>
          <w:trHeight w:val="198" w:hRule="atLeast"/>
          <w:cantSplit w:val="false"/>
        </w:trPr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283 052 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91, 2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3 037 09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ky-KG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746 732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ky-KG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279 2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98,6</w:t>
            </w:r>
          </w:p>
        </w:tc>
      </w:tr>
    </w:tbl>
    <w:p>
      <w:pPr>
        <w:pStyle w:val="ListParagraph"/>
        <w:ind w:left="0" w:right="0" w:firstLine="567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В Кыргызской Республике 2009 году по инициативе Госфиннадзора приняты поправки в законодательство Кыргызской Республики, позволяющие предприятиям выпускать облигации вне зависимости от размера собственного капитала и времени существования фирмы. Подобное изменение, а также ряд других поправок, в том числе снятие ограничений по облигациям для акционерных обществ и обществ с ограниченной ответственностью (ОсОО), внесены в Гражданский кодекс Кыргызской Республики, законы Кыргызской Республики «Об акционерных обществах» и «О хозяйственных товариществах и обществах». Данные изменения послужили стимулом для выпуска облигаций и дальнейшего развития рынка корпоративных облигаций.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У любого предприятия время от времени возникает потребность в получении банковского кредита. При получении кредита в банках предприятия соглашаются с требованиями банков, которые часто ставят заемщиков в невыгодное положение. Минусом банковского кредитования являются высокие затраты на обслуживание займа, короткие сроки на которые предоставляется кредит и малые суммы кредитования, связанные с заниженной оценкой залога, выставляемого в обеспечение кредита.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 xml:space="preserve">В отличие от банковских кредитов рыночная форма долга позволяет, как повысить оперативность и эффективность управления, так и снизить стоимость заимствования за счет привлечения большого числа инвесторов. 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В настоящее время благодаря указанным поправкам в законодательство Кыргызской Республики, рынок корпоративных облигаций динамично развивается.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За 2018 год на торговой площадке ЗАО «Кыргызская фондовая биржа» совершена 741 сделка с корпоративными облигациями ОАО «Салымфинанс», ОсОО «Аю», ЗАО «Кыргызский Инвестиционный Кредитный Банк», ЗАО МФК «Алма Кредит» и ОАО ТД «Мин Туркун» на сумму 421 579 550,02 сомов, что на 33,7 % меньше показателя 2017 года, это связано с уменьшением эмиссий ЗАО «Кыргызский Инвестиционный Кредитный Банк».</w:t>
      </w:r>
    </w:p>
    <w:p>
      <w:pPr>
        <w:pStyle w:val="Normal"/>
        <w:shd w:fill="FFFFFF" w:val="clear"/>
        <w:spacing w:lineRule="auto" w:line="240"/>
        <w:ind w:left="0" w:right="0" w:firstLine="709"/>
        <w:outlineLvl w:val="1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За 2017 год на торговой площадке ЗАО «Кыргызская фондовая биржа» совершено 607 сделок с корпоративными облигациями ОАО «Салымфинанс», ОсОО «Аю», ЗАО «Кыргызский Инвестиционный Кредитный Банк», ЗАО МФК «Алма Кредит» и ОАО ТД «Мин туркун», на сумму 636 617 704,58 сомов.</w:t>
      </w:r>
    </w:p>
    <w:p>
      <w:pPr>
        <w:pStyle w:val="Normal"/>
        <w:spacing w:lineRule="auto" w:line="240"/>
        <w:jc w:val="right"/>
        <w:outlineLvl w:val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Диаграмма 1.2</w:t>
      </w:r>
    </w:p>
    <w:p>
      <w:pPr>
        <w:pStyle w:val="ListParagraph"/>
        <w:ind w:left="0" w:right="0" w:hanging="0"/>
        <w:jc w:val="both"/>
        <w:rPr/>
      </w:pPr>
      <w:r>
        <w:rPr/>
        <w:drawing>
          <wp:inline distT="0" distB="0" distL="0" distR="0">
            <wp:extent cx="5724525" cy="27432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ListParagraph"/>
        <w:ind w:left="0" w:right="0" w:firstLine="567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r>
    </w:p>
    <w:p>
      <w:pPr>
        <w:pStyle w:val="ListParagraph"/>
        <w:ind w:left="0" w:right="0" w:firstLine="567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 xml:space="preserve">В 2016-2017 гг. проведена значительная работа по созданию нормативной правовой базы для выпуска и обращения новых финансовых инструментов, которые нашли широкое применение в развитых странах.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 результате создана нормативная правовая база для выпуска и обращения на фондовом рынке Кыргызской Республики следующих видов финансовых инструментов: </w:t>
      </w: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>облигаций, обеспеченных золотом; долговых эмиссионных ценных бумаг, обеспеченных залогом; производных финансовых инструментов (опционы, варранты, фьючерсы, форварды, складские свидетельства); ипотечных ценных бумаг; исламских ценных бумаг.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Отсутствие на рынке в достаточном количестве доходных и относительно ликвидных финансовых инструментов</w:t>
      </w:r>
    </w:p>
    <w:p>
      <w:pPr>
        <w:pStyle w:val="ListParagraph"/>
        <w:ind w:left="0" w:right="0" w:firstLine="567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>Несмотря на то, что в Кыргызской Республике создана вся необходимая нормативная правовая база для выпуска и обращения различных видов финансовых инструментов, большая часть этих финансовых инструментов, посредством которых могли бы инвестироваться инфраструктурные проекты, такие, как автомобильные и железные дороги, жилые массивы, а также такие отрасли экономики, как освоение месторождений, строительство гидростанций, развитие туристических комплексов на практике еще не применяются.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 настоящее время финансовый рынок представлен узким кругом финансовых инструментов и характеризуется низкой доходностью (доходность по корпоративным ценным бумагам зависит от результатов деятельности предприятий и в большинстве случаев она незначительна), низкими процентами по государственным ценным бумагам и по другим финансовым инструментам. Существует нехватка эффективных финансовых инструментов, позволяющих привлекать заемный капитал таких, как муниципальные, ипотечные ценные бумаги, жилищные сертификаты. </w:t>
      </w:r>
    </w:p>
    <w:p>
      <w:pPr>
        <w:pStyle w:val="Normal"/>
        <w:spacing w:lineRule="auto" w:line="240"/>
        <w:ind w:left="0" w:right="0" w:firstLine="708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</w:r>
    </w:p>
    <w:p>
      <w:pPr>
        <w:pStyle w:val="Normal"/>
        <w:spacing w:lineRule="auto" w:line="240"/>
        <w:ind w:left="0" w:right="0" w:firstLine="708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Недостаточный уровень знаний населения в вопросах инвестирования в ценные бумаги</w:t>
      </w:r>
    </w:p>
    <w:p>
      <w:pPr>
        <w:pStyle w:val="ListParagraph"/>
        <w:ind w:left="0" w:right="0" w:firstLine="567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>Одной из ключевых задач государства в сфере развития рынка ценных бумаг является обеспечение информационной прозрачности на рынке ценных бумаг. Существуют определенные требования в части публичного раскрытия информации о деятельности профессиональных участников и эмитентов, однако они носят неполный характер. В недостаточной степени обеспечиваются процессы масштабного раскрытия информации и сведений относительно ведения профессиональной деятельности на фондовом рынке, деятельности эмитентов и системы регулирования их деятельности с использованием современных информационных технологий (интернет, электронная интеграционная платформа и др.).</w:t>
      </w:r>
    </w:p>
    <w:p>
      <w:pPr>
        <w:pStyle w:val="ListParagraph"/>
        <w:ind w:left="0" w:right="0" w:firstLine="567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>За время существования Кыргызская фондовая биржа не сформировала эффективно функционирующую распространенную сеть региональных центров и/или филиалов, тем самым не смогла стимулировать создание региональных активных брокерских компаний. Вследствие чего значительная часть населения республики не вовлечена в рынок ценных бумаг и в большинстве своем не имеет понятия о финансовых инструментах рынка ценных бумаг.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Большой инвестиционный потенциал сосредоточен в руках индивидуальных инвесторов – населения.</w:t>
      </w:r>
      <w:r>
        <w:rPr>
          <w:rFonts w:ascii="Times New Roman" w:hAnsi="Times New Roman"/>
          <w:bCs/>
          <w:szCs w:val="28"/>
          <w:lang w:val="ky-KG"/>
        </w:rPr>
        <w:t xml:space="preserve"> Д</w:t>
      </w:r>
      <w:r>
        <w:rPr>
          <w:rFonts w:ascii="Times New Roman" w:hAnsi="Times New Roman"/>
          <w:bCs/>
          <w:szCs w:val="28"/>
        </w:rPr>
        <w:t>ля того чтобы население стало активным участником рынка ценных бумаг необходимо обеспечить прозрачность и доступность информации, должна проводиться работа по популяризации рынка ценных бумаг.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 Ломбардная деятельность</w:t>
      </w:r>
    </w:p>
    <w:p>
      <w:pPr>
        <w:pStyle w:val="ListParagraph"/>
        <w:ind w:left="0" w:right="0" w:firstLine="567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r>
    </w:p>
    <w:p>
      <w:pPr>
        <w:pStyle w:val="ListParagraph"/>
        <w:ind w:left="0" w:right="0" w:firstLine="567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>Ломбард – специализированная коммерческая организация, основным видом деятельности которой является предоставление краткосрочных займов под залог движимого имущества граждан.</w:t>
      </w:r>
    </w:p>
    <w:p>
      <w:pPr>
        <w:pStyle w:val="ListParagraph"/>
        <w:ind w:left="0" w:right="0" w:firstLine="567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>В настоящее время ломбард (ломбардная деятельность) по своей сути стоит на первой ступени в финансовом секторе к получению быстрых, но небольших по своему объему краткосрочных займов, которыми граждане пользуются при необходимости изыскания наличных денежных средств для своих потребительских нужд.</w:t>
      </w:r>
    </w:p>
    <w:p>
      <w:pPr>
        <w:pStyle w:val="ListParagraph"/>
        <w:ind w:left="0" w:right="0" w:firstLine="709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>В соответствии со статьей 15 Закона Кыргызской Республики                «О лицензионно - разрешительной деятельности в Кыргызской Республике» деятельность ломбардов на территории Кыргызской Республики подлежит лицензированию. Вместе с тем, согласно статье 3 Закона Кыргызской Республики «О деятельности ломбардов», лицензирование деятельности ломбардов осуществляется в соответствии с законодательством в сфере лицензионно-разрешительной системы в Кыргызской Республике. Лицензиаром является орган, уполномоченный Правительством Кыргызской Республики. В соответствии с постановлением Правительства Кыргызской Республики «О вопросах ломбардной деятельности» от 8 июня 2017 года № 353 Госфиннадзор определен лицензиаром, осуществляющим лицензирование ломбардной деятельности.</w:t>
      </w:r>
    </w:p>
    <w:p>
      <w:pPr>
        <w:pStyle w:val="ListParagraph"/>
        <w:ind w:left="0" w:right="0" w:firstLine="567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>Ломбарды при выдаче займа в залог принимают движимое имущество (малогабаритное имущество, крупногабаритное имущество). Малогабаритное имущество - ювелирные изделия, а также другое движимое имущество, которое хранится в несгораемых сейфах ломбарда, установл</w:t>
      </w:r>
      <w:bookmarkStart w:id="1" w:name="_Hlk525398343"/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 xml:space="preserve">енных на территории ломбарда, крупногабаритное имущество </w:t>
      </w:r>
      <w:bookmarkEnd w:id="1"/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>- движимое имущество, которое хранится на территории ломбарда (автомашины и другие крупные имущества).</w:t>
      </w:r>
    </w:p>
    <w:p>
      <w:pPr>
        <w:pStyle w:val="ListParagraph"/>
        <w:ind w:left="0" w:right="0" w:firstLine="567"/>
        <w:jc w:val="both"/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2B2B2B"/>
          <w:sz w:val="28"/>
          <w:szCs w:val="28"/>
          <w:lang w:val="ru-RU"/>
        </w:rPr>
        <w:t xml:space="preserve">На территории Кыргызской Республике насчитывается более 400 ломбардов. По состоянию на 31 декабря 2018 года Госфиннадзором выдано 220 лицензий: Бишкек - 98, Джалал-Абад - 18, Ош - 30, Чуй - 26, Иссык-Куль - 33, Баткен - 4, Нарын - 8, Талас - 3. </w:t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i/>
          <w:szCs w:val="28"/>
          <w:lang w:eastAsia="en-US"/>
        </w:rPr>
      </w:pPr>
      <w:r>
        <w:rPr>
          <w:rFonts w:ascii="Times New Roman" w:hAnsi="Times New Roman"/>
          <w:b/>
          <w:i/>
          <w:szCs w:val="28"/>
          <w:lang w:eastAsia="en-US"/>
        </w:rPr>
        <w:t>Диаграмма 1.3</w:t>
      </w:r>
    </w:p>
    <w:p>
      <w:pPr>
        <w:pStyle w:val="Normal"/>
        <w:spacing w:lineRule="auto" w:line="240"/>
        <w:ind w:left="0" w:right="-1" w:hanging="0"/>
        <w:rPr/>
      </w:pPr>
      <w:r>
        <w:rPr/>
        <w:drawing>
          <wp:inline distT="0" distB="0" distL="0" distR="0">
            <wp:extent cx="5724525" cy="211709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Низкий уровень лицензированности ломбардов</w:t>
      </w:r>
    </w:p>
    <w:p>
      <w:pPr>
        <w:pStyle w:val="ListParagraph"/>
        <w:widowControl w:val="false"/>
        <w:ind w:left="0" w:right="0" w:firstLine="708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в регионах Кыргызской Республики</w:t>
      </w:r>
    </w:p>
    <w:p>
      <w:pPr>
        <w:pStyle w:val="Normal"/>
        <w:shd w:fill="FFFFFF" w:val="clear"/>
        <w:spacing w:lineRule="auto" w:line="240"/>
        <w:ind w:left="0" w:right="0" w:firstLine="709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На территории Кыргызской Республики не лицензированными остаются ломбарды, которые в основном находятся в регионах республики. В связи с чем, необходимо провести работу по их.</w:t>
      </w:r>
    </w:p>
    <w:p>
      <w:pPr>
        <w:pStyle w:val="ListParagraph"/>
        <w:shd w:fill="FFFFFF" w:val="clear"/>
        <w:ind w:left="0" w:right="0" w:hanging="0"/>
        <w:jc w:val="center"/>
        <w:rPr>
          <w:rFonts w:cs="Times New Roman" w:ascii="Times New Roman" w:hAnsi="Times New Roman"/>
          <w:b/>
          <w:color w:val="2B2B2B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2B2B2B"/>
          <w:sz w:val="28"/>
          <w:szCs w:val="28"/>
          <w:lang w:val="ru-RU"/>
        </w:rPr>
      </w:r>
    </w:p>
    <w:p>
      <w:pPr>
        <w:pStyle w:val="Normal"/>
        <w:spacing w:lineRule="auto" w:line="240"/>
        <w:ind w:left="0" w:right="0" w:firstLine="708"/>
        <w:jc w:val="center"/>
        <w:rPr>
          <w:rFonts w:ascii="Times New Roman" w:hAnsi="Times New Roman"/>
          <w:b/>
          <w:color w:val="2B2B2B"/>
          <w:szCs w:val="28"/>
        </w:rPr>
      </w:pPr>
      <w:r>
        <w:rPr>
          <w:rFonts w:ascii="Times New Roman" w:hAnsi="Times New Roman"/>
          <w:b/>
          <w:color w:val="2B2B2B"/>
          <w:szCs w:val="28"/>
        </w:rPr>
        <w:t>Отсутствие утвержденного размера процента займа, выдаваемого ломбардами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color w:val="2B2B2B"/>
          <w:szCs w:val="28"/>
        </w:rPr>
      </w:pPr>
      <w:r>
        <w:rPr>
          <w:rFonts w:ascii="Times New Roman" w:hAnsi="Times New Roman"/>
          <w:color w:val="2B2B2B"/>
          <w:szCs w:val="28"/>
        </w:rPr>
        <w:t>Законодательством Кыргызской Республики не установлен размер предельно допустимого процента на займ выдаваемый ломбардами. Процентная ставка на выдаваемую сумму займа устанавливается в договоре займа, который составляется между ломбардом и заемщиков. Многие ломбарды процентную ставку на выдаваемую сумму займа устанавливают на свое усмотрение, либо исходя из рыночной суммы. На данный момент ломбардами установлена процентная ставка в размере 0,17 % в день.</w:t>
      </w:r>
    </w:p>
    <w:p>
      <w:pPr>
        <w:pStyle w:val="Normal"/>
        <w:spacing w:lineRule="auto" w:line="24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color w:val="2B2B2B"/>
          <w:szCs w:val="28"/>
        </w:rPr>
        <w:t xml:space="preserve">            </w:t>
      </w:r>
      <w:r>
        <w:rPr>
          <w:rFonts w:ascii="Times New Roman" w:hAnsi="Times New Roman"/>
          <w:color w:val="2B2B2B"/>
          <w:szCs w:val="28"/>
        </w:rPr>
        <w:t>К примеру, если</w:t>
      </w:r>
      <w:r>
        <w:rPr>
          <w:rFonts w:ascii="Times New Roman" w:hAnsi="Times New Roman"/>
          <w:bCs/>
          <w:szCs w:val="28"/>
        </w:rPr>
        <w:t xml:space="preserve"> заемщик заложил движимое имущество на сумму 10 000 сомов, то сумма оплаты за проценты на выдаваемую сумму займа устанавливается на каждый день и в итоге предусматривает следующее суммы, которые отражены в таблице.</w:t>
      </w:r>
    </w:p>
    <w:p>
      <w:pPr>
        <w:pStyle w:val="Normal"/>
        <w:spacing w:lineRule="auto" w:line="240"/>
        <w:ind w:left="0" w:right="-143" w:hanging="0"/>
        <w:rPr>
          <w:rFonts w:eastAsia="Calibri" w:ascii="Times New Roman" w:hAnsi="Times New Roman"/>
          <w:szCs w:val="28"/>
          <w:lang w:eastAsia="en-US"/>
        </w:rPr>
      </w:pPr>
      <w:r>
        <w:rPr>
          <w:rFonts w:eastAsia="Calibri" w:ascii="Times New Roman" w:hAnsi="Times New Roman"/>
          <w:szCs w:val="28"/>
          <w:lang w:eastAsia="en-US"/>
        </w:rPr>
      </w:r>
    </w:p>
    <w:p>
      <w:pPr>
        <w:pStyle w:val="Normal"/>
        <w:spacing w:lineRule="auto" w:line="240"/>
        <w:ind w:left="0" w:right="-143" w:firstLine="567"/>
        <w:rPr>
          <w:rFonts w:eastAsia="Calibri" w:ascii="Times New Roman" w:hAnsi="Times New Roman"/>
          <w:szCs w:val="28"/>
          <w:lang w:eastAsia="en-US"/>
        </w:rPr>
      </w:pPr>
      <w:r>
        <w:rPr>
          <w:rFonts w:eastAsia="Calibri" w:ascii="Times New Roman" w:hAnsi="Times New Roman"/>
          <w:szCs w:val="28"/>
          <w:lang w:eastAsia="en-US"/>
        </w:rPr>
        <w:t>В статье 1 Закона Кыргызской Республики «</w:t>
      </w:r>
      <w:r>
        <w:rPr>
          <w:rFonts w:ascii="Times New Roman" w:hAnsi="Times New Roman"/>
          <w:bCs/>
          <w:szCs w:val="28"/>
        </w:rPr>
        <w:t>Об ограничении ростовщической деятельности в Кыргызской Республике</w:t>
      </w:r>
      <w:r>
        <w:rPr>
          <w:rFonts w:eastAsia="Calibri" w:ascii="Times New Roman" w:hAnsi="Times New Roman"/>
          <w:szCs w:val="28"/>
          <w:lang w:eastAsia="en-US"/>
        </w:rPr>
        <w:t>» предусмотрено, что данный закон распространяется на кредиторов - физических и юридических лиц (независимо от форм собственности), выдающих займы и кредиты в долг под проценты и подпадающих под определение ростовщической деятельности.</w:t>
      </w:r>
      <w:r>
        <w:pict>
          <v:rect style="position:absolute;width:451.95pt;height:83pt;mso-wrap-distance-left:9pt;mso-wrap-distance-right:9pt;mso-wrap-distance-top:0pt;mso-wrap-distance-bottom:0pt;margin-top:-0.45pt;margin-left:-2.6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1959"/>
                    <w:gridCol w:w="1692"/>
                    <w:gridCol w:w="3402"/>
                    <w:gridCol w:w="1985"/>
                  </w:tblGrid>
                  <w:tr>
                    <w:trPr>
                      <w:cantSplit w:val="false"/>
                    </w:trPr>
                    <w:tc>
                      <w:tcPr>
                        <w:tcW w:w="195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b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b/>
                            <w:szCs w:val="28"/>
                            <w:lang w:eastAsia="en-US"/>
                          </w:rPr>
                          <w:t>На сумму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b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b/>
                            <w:szCs w:val="28"/>
                            <w:lang w:eastAsia="en-US"/>
                          </w:rPr>
                          <w:t>Дни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b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b/>
                            <w:szCs w:val="28"/>
                            <w:lang w:eastAsia="en-US"/>
                          </w:rPr>
                          <w:t>Сумма к оплате за %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b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b/>
                            <w:szCs w:val="28"/>
                            <w:lang w:eastAsia="en-US"/>
                          </w:rPr>
                          <w:t>% соотношение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959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r>
                      </w:p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  <w:t>10 000 сом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  <w:t>В день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  <w:t>17  сом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  <w:t>0,17  %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959" w:type="dxa"/>
                        <w:vMerge w:val="continue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  <w:t>В месяц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  <w:t>510  сом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  <w:t>5,1  %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959" w:type="dxa"/>
                        <w:vMerge w:val="continue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bookmarkStart w:id="2" w:name="__UnoMark__9454_247326030"/>
                        <w:bookmarkStart w:id="3" w:name="__UnoMark__9453_247326030"/>
                        <w:bookmarkStart w:id="4" w:name="__UnoMark__9454_247326030"/>
                        <w:bookmarkStart w:id="5" w:name="__UnoMark__9453_247326030"/>
                        <w:bookmarkEnd w:id="4"/>
                        <w:bookmarkEnd w:id="5"/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bookmarkStart w:id="6" w:name="__UnoMark__9455_247326030"/>
                        <w:bookmarkStart w:id="7" w:name="__UnoMark__9456_247326030"/>
                        <w:bookmarkEnd w:id="6"/>
                        <w:bookmarkEnd w:id="7"/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  <w:t>В год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bookmarkStart w:id="8" w:name="__UnoMark__9457_247326030"/>
                        <w:bookmarkStart w:id="9" w:name="__UnoMark__9458_247326030"/>
                        <w:bookmarkEnd w:id="8"/>
                        <w:bookmarkEnd w:id="9"/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  <w:t>6120 сом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/>
                          <w:ind w:left="0" w:right="-143" w:hanging="0"/>
                          <w:jc w:val="center"/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</w:pPr>
                        <w:bookmarkStart w:id="10" w:name="__UnoMark__9459_247326030"/>
                        <w:bookmarkEnd w:id="10"/>
                        <w:r>
                          <w:rPr>
                            <w:rFonts w:eastAsia="Calibri" w:ascii="Times New Roman" w:hAnsi="Times New Roman"/>
                            <w:szCs w:val="28"/>
                            <w:lang w:eastAsia="en-US"/>
                          </w:rPr>
                          <w:t>61,2  %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spacing w:lineRule="auto" w:line="240"/>
        <w:ind w:left="0" w:righ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Вместе с тем, статья 6 данного Закона предусматривает ограничение процентных ставок. В данной статье определено, что размер предельно допустимого процента рассчитывается исходя из средневзвешенной номинальной процентной ставки, определяемой Национальным банком Кыргызской Республики, к которой добавляется 15 процентов.</w:t>
      </w:r>
    </w:p>
    <w:p>
      <w:pPr>
        <w:pStyle w:val="Normal"/>
        <w:spacing w:lineRule="auto" w:line="240"/>
        <w:ind w:left="0" w:righ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Средневзвешенная номинальная процентная ставка по действующим кредитам банков и иных финансово-кредитных учреждений, лицензируемых и регулируемых Национальным банком Кыргызской Республики, рассчитывается Национальным банком Кыргызской Республики на полугодовой основе и публикуется на его официальном сайте.</w:t>
      </w:r>
    </w:p>
    <w:p>
      <w:pPr>
        <w:pStyle w:val="Normal"/>
        <w:spacing w:lineRule="auto" w:line="240"/>
        <w:ind w:left="0" w:right="-143" w:hanging="0"/>
        <w:rPr>
          <w:rFonts w:ascii="Times New Roman" w:hAnsi="Times New Roman"/>
          <w:szCs w:val="28"/>
        </w:rPr>
      </w:pPr>
      <w:r>
        <w:rPr>
          <w:rFonts w:eastAsia="Calibri" w:ascii="Times New Roman" w:hAnsi="Times New Roman"/>
          <w:szCs w:val="28"/>
          <w:lang w:eastAsia="en-US"/>
        </w:rPr>
        <w:tab/>
        <w:t xml:space="preserve">На </w:t>
      </w:r>
      <w:r>
        <w:rPr>
          <w:rFonts w:ascii="Times New Roman" w:hAnsi="Times New Roman"/>
          <w:szCs w:val="28"/>
        </w:rPr>
        <w:t>текущий момент, средневзвешенная номинальная процентная ставка определена в размере 17,4 %. Если к этой сумме добавить 15 %, то в итоге предельно допустимый процент по займам и кредитам составит 32,9 %. Таким образом, на территории Кыргызской Республики размер предельно допустимого процента по займам и кредитам составляет 32,9 %.</w:t>
      </w:r>
    </w:p>
    <w:p>
      <w:pPr>
        <w:pStyle w:val="Normal"/>
        <w:spacing w:lineRule="auto" w:line="240"/>
        <w:ind w:left="0" w:right="-143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Следовательно ломбард также, подпадает под действие данного закона.</w:t>
      </w:r>
    </w:p>
    <w:p>
      <w:pPr>
        <w:pStyle w:val="Normal"/>
        <w:spacing w:lineRule="auto" w:line="240"/>
        <w:ind w:left="0" w:right="-143" w:hanging="0"/>
        <w:rPr>
          <w:rFonts w:eastAsia="Calibri"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Однако, при расчете средневзвешенной номинальной процентной ставки, Национальный банк Кыргызской Республики определяет предельно допустимый процент по действующим кредитам банков и иных финансово-кредитных учреждений, лицензируемых и регулируемых Национальным банком Кыргызской Республики. Принимая во внимание, что деятельность ломбардов лицензируется Госфиннадзором, а не Национальным банком Кыргызской Республики, отмечаем частичное распространение норм Закона Кыргызской Республики «Об ограничении ростовщической деятельности в Кыргызской Республике» на деятельность ломбардов.</w:t>
      </w:r>
      <w:r>
        <w:rPr>
          <w:rFonts w:eastAsia="Calibri" w:ascii="Times New Roman" w:hAnsi="Times New Roman"/>
          <w:szCs w:val="28"/>
          <w:lang w:eastAsia="en-US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 Страховая деятельность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Формирование и становление национального страхового рынка после обретения Кыргызской Республикой независимости проходило в сложных условиях. За эти годы страховыми организациями Кыргызстана приобретен определенный опыт в осуществлении страхования и перестрахования. На данный момент страховой рынок Кыргызской Республики существенно изменился и продолжает изменяться, появляются новые страховые компании.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состоянию на 1 января 2019 года в Кыргызской Республике осуществляют деятельность 17 страховых (перестраховочных) организаций, из них 12 организаций со 100 % кыргызским капиталом, 4 организаций с участием нерезидентов, 1 организация со смешанным капиталом.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ind w:left="0" w:right="0" w:firstLine="700"/>
        <w:jc w:val="right"/>
        <w:rPr>
          <w:rFonts w:ascii="Times New Roman" w:hAnsi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/>
          <w:b/>
          <w:i/>
          <w:color w:val="000000"/>
          <w:sz w:val="24"/>
          <w:szCs w:val="28"/>
        </w:rPr>
        <w:t>Диаграмма 1.4</w:t>
      </w:r>
    </w:p>
    <w:p>
      <w:pPr>
        <w:pStyle w:val="Normal"/>
        <w:spacing w:lineRule="auto" w:line="240"/>
        <w:rPr/>
      </w:pPr>
      <w:r>
        <w:rPr/>
        <w:drawing>
          <wp:inline distT="0" distB="0" distL="0" distR="0">
            <wp:extent cx="5732780" cy="213868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2018 год объем страховых премий составил 1 080 млн сомов, в том числе: по личному страхованию – 158,3 млн сомов, по имущественному страхованию – 669,9 млн сомов, по страхованию ответственности – 87,9 млн сомов, по обязательным видам страхования – 164,4 млн сомов, по страхованию жизни – 0,016 млн сомов.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Совокупные активы страховых организаций по состоянию на 1 января 2019 года составили 3993 млн сомов. Совокупный собственный капитал страховых организаций составил 3 млрд 86 млн сомов. Обязательства составили 907,1 млн сомов. Объем страховых резервов, сформированных страховыми (перестраховочными) организациями для обеспечения исполнения принятых обязательств по действующим договорам страхования и перестрахования, составил 271,5 млн сомов. </w:t>
      </w:r>
    </w:p>
    <w:p>
      <w:pPr>
        <w:pStyle w:val="ListParagraph"/>
        <w:ind w:left="1069" w:right="0" w:hanging="0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ind w:left="1069" w:right="0" w:hanging="0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Отсутствие массовых видов страхования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 многих странах мира страховой сектор получил развитие после введения массовых видов обязательного страхования, например, таких как обязательное страхование ответственности владельцев автотранспортных средств.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Впервые Закон «Об обязательном страховании гражданско-правовой ответственности владельцев транспортных средств» (ОСАГО) предложили ввести в Кыргызской Республике в 2010 году. Однако общество восприняло идею крайне негативно. Активисты посчитали закон «сырым», возмутились срочностью введения страховки и засомневались в готовности страховых компаний вести честную работу. 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2019 году Жогорку Кенеш Кыргызской Республики выступил с инициативой ввести в действие закона об ОСАГО с 2021 года.</w:t>
      </w:r>
    </w:p>
    <w:p>
      <w:pPr>
        <w:pStyle w:val="ListParagraph"/>
        <w:ind w:left="1069" w:right="0" w:hanging="0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ind w:left="1069" w:right="0" w:hanging="0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Отсутствие системы подготовки специалистов в области экономико-математических расчетов страховых обязательств (актуариев)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Несмотря на достижение относительной стабильности и устойчивости, страховой рынок все еще играет незначительную роль в национальной экономике страны. Доля страховых премий в ВВП не превышает 0,26 %, при том, что в странах ЕАЭС данный показатель составляет в среднем 2 %. Крайне низким остается и уровень проникновения страховых услуг. Размер страховой премии на душу населения составляет 189 сомов. 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Основными потребителями страховых услуг являются крупные предприятия и физические лица, вступающие в кредитные отношения с коммерческими банками. Отсутствие</w:t>
      </w:r>
      <w:r>
        <w:rPr>
          <w:rFonts w:ascii="Times New Roman" w:hAnsi="Times New Roman"/>
          <w:color w:val="000000"/>
          <w:szCs w:val="28"/>
          <w:shd w:fill="FFFFFF" w:val="clear"/>
        </w:rPr>
        <w:t xml:space="preserve"> страховой культуры в целом, не</w:t>
      </w:r>
      <w:r>
        <w:rPr>
          <w:rFonts w:ascii="Times New Roman" w:hAnsi="Times New Roman"/>
          <w:szCs w:val="28"/>
        </w:rPr>
        <w:t xml:space="preserve"> информированность населения о страховых услугах ведет к недоверию страховому рынку и являются главным сдерживающим фактором роста отрасли. 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color w:val="000000"/>
          <w:szCs w:val="28"/>
          <w:shd w:fill="FFFFFF" w:val="clear"/>
        </w:rPr>
      </w:pPr>
      <w:r>
        <w:rPr>
          <w:rFonts w:ascii="Times New Roman" w:hAnsi="Times New Roman"/>
          <w:color w:val="000000"/>
          <w:szCs w:val="28"/>
          <w:shd w:fill="FFFFFF" w:val="clear"/>
        </w:rPr>
        <w:t>Следует помнить о том, что обязательное страхование принимается не в интересах собственников объектов и не в интересах страховщиков, а в интересах пострадавших.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color w:val="000000"/>
          <w:szCs w:val="28"/>
          <w:shd w:fill="FFFFFF" w:val="clear"/>
        </w:rPr>
      </w:pPr>
      <w:r>
        <w:rPr>
          <w:rFonts w:ascii="Times New Roman" w:hAnsi="Times New Roman"/>
          <w:color w:val="000000"/>
          <w:szCs w:val="28"/>
          <w:shd w:fill="FFFFFF" w:val="clear"/>
        </w:rPr>
        <w:t>Основной причиной, негативного отношения со стороны населения, является прежде всего непонимание данного инструмента страхования, непонимание в свою очередь ведет к недоверию и к негативному отношению. Учитывая незначительный опыт работы населения с продуктами страхового рынка, у большинства сложилось ошибочное мнение об обязательном страховании. Многие воспринимают его в качестве еще одной формы налогообложения.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color w:val="000000"/>
          <w:szCs w:val="28"/>
          <w:shd w:fill="FFFFFF" w:val="clear"/>
        </w:rPr>
      </w:pPr>
      <w:r>
        <w:rPr>
          <w:rFonts w:ascii="Times New Roman" w:hAnsi="Times New Roman"/>
          <w:color w:val="000000"/>
          <w:szCs w:val="28"/>
          <w:shd w:fill="FFFFFF" w:val="clear"/>
        </w:rPr>
        <w:t xml:space="preserve">Решение данного вопроса, а также повышение информированности населения о страховании в целом и о необходимости обязательного страхования, станет отправной точкой для развития страховой культуры в стране.  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Функционирование страхового рынка требует введения института актуариев (специалистов в области экономико-математического расчет</w:t>
      </w:r>
      <w:r>
        <w:rPr>
          <w:rFonts w:ascii="Times New Roman" w:hAnsi="Times New Roman"/>
          <w:szCs w:val="28"/>
          <w:lang w:val="ky-KG"/>
        </w:rPr>
        <w:t>а</w:t>
      </w:r>
      <w:r>
        <w:rPr>
          <w:rFonts w:ascii="Times New Roman" w:hAnsi="Times New Roman"/>
          <w:szCs w:val="28"/>
        </w:rPr>
        <w:t xml:space="preserve"> страховых обязательств), определения соответствующих требований к уполномоченным аудиторам, оценщикам и другим специалистам, которые должны вести разработку нормативно-правовых актов.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Профессия актуария является новой для Кыргызской Республики, и до введения обязательных видов страхования не являлась актуальной. Действующие страховые компании проводили обучение своих сотрудников в России и Казахстане, где уже созданы и функционируют учебные центры и проводятся курсы для актуариев. Обучение актуария очень сложное и специфичное, стоимость обучения среднего специалиста обходится от 2000 долларов США и более. Для развития института актуариев необходимо внести изменения в нормативную правовую базу по лицензированию деятельности актуариев и оценщиков.</w:t>
      </w:r>
    </w:p>
    <w:p>
      <w:pPr>
        <w:pStyle w:val="Normal"/>
        <w:spacing w:lineRule="auto" w:line="240"/>
        <w:ind w:left="0" w:right="0" w:firstLine="7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ind w:left="0" w:right="0" w:firstLine="7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Отсутствие надежных финансовых инструментов долгосрочного размещения страховых резервов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Аккумулируемые страховыми компаниями денежные средства необходимо инвестировать в долгосрочные высоколиквидные и доходные активы. Как правило в развитых странах страховые компании инвестируют свои резервы в государственные ценные бумаги, муниципальные облигации и займы, акции ведущих компаний с высокой доходностью и недвижимость и т.д. Отсутствие на кыргызском фондовом рынке долгосрочных финансовых инструментов и невысокая доходность ценных бумаг местных компаний не дает возможности страховым компаниям инвестировать страховые резервы более эффективно.</w:t>
      </w:r>
    </w:p>
    <w:p>
      <w:pPr>
        <w:pStyle w:val="ListParagraph"/>
        <w:ind w:left="1069" w:right="0" w:hanging="0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ind w:left="1069" w:right="0" w:hanging="0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Неразвитость национального перестраховочного рынка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Неразвитость национального перестраховочного рынка приводит к оттоку значительных сумм страховой премии за границу, в виду объективной необходимости привлечения участия иностранных перестраховочных компаний к страхованию крупных рисков. В настоящее время страховые компании из-за отсутствия достаточной перестраховочной емкости в республике оставляют у себя небольшую часть полученной страховой премии, а 70 % передают в зарубежные страховые компании. Развитая национальная система перестрахования рисков позволит страховщикам оставлять у себя большую часть страховых премий, не передавая их на перестрахование за рубеж, и увеличит сумму активов, инвестируемых в финансовые инструменты республики.</w:t>
      </w:r>
    </w:p>
    <w:p>
      <w:pPr>
        <w:pStyle w:val="ListParagraph"/>
        <w:ind w:left="1069" w:right="0" w:hanging="0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ind w:left="0" w:right="0" w:hanging="0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Информационная закрытость рынка страховых услуг, создающая проблемы для потенциальных страхователей в выборе устойчивых страховых организаций</w:t>
      </w:r>
    </w:p>
    <w:p>
      <w:pPr>
        <w:pStyle w:val="Normal"/>
        <w:spacing w:lineRule="auto" w:line="24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>Существующая проблема связана с тем, что страховые компании не в большей части сосредоточены на работе с корпоративным сектором и не заинтересованы вкладывать финансовые ресурсы для продвижения розничных страховых продуктов.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color w:val="000000"/>
          <w:szCs w:val="28"/>
          <w:shd w:fill="FFFFFF" w:val="clear"/>
        </w:rPr>
      </w:pPr>
      <w:r>
        <w:rPr>
          <w:rFonts w:ascii="Times New Roman" w:hAnsi="Times New Roman"/>
          <w:color w:val="000000"/>
          <w:szCs w:val="28"/>
          <w:shd w:fill="FFFFFF" w:val="clear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color w:val="000000"/>
          <w:szCs w:val="28"/>
          <w:shd w:fill="FFFFFF" w:val="clear"/>
        </w:rPr>
      </w:pPr>
      <w:r>
        <w:rPr>
          <w:rFonts w:ascii="Times New Roman" w:hAnsi="Times New Roman"/>
          <w:b/>
          <w:color w:val="000000"/>
          <w:szCs w:val="28"/>
          <w:shd w:fill="FFFFFF" w:val="clear"/>
        </w:rPr>
        <w:t>4. Накопительные пенсионные фонды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Деятельность накопительных пенсионных фондов призвана играть важную роль в формировании небанковского сектора. В Кыргызской Республике действует Закон Кыргызской Республики «О накопительных пенсионных фондах в Кыргызской Республике». В настоящее время на рынке действует один накопительный пенсионный фонд - НПФ «Кыргызстан». Основным видом деятельности НПФ «Кыргызстан» является дополнительное добровольное пенсионное обеспечение граждан на основе пенсионных договоров.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Накопительный пенсионный фонд (НПФ) создан с той целью, чтобы в будущем средства, которые на него поступают, приносили трудящемуся инвестиционный доход.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2010 года в процессе реформ солидарная пенсионная система заменена на смешанную, сочетающую в себе как распределительный, так и накопительный принципы. Таким образом, государство предоставило населению часть полномочий по формированию будущей трудовой пенсии, управляя ее накопительной частью.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сегодняшний день застрахованные лица, формирующие или сформировавшие пенсионные накопления (далее – застрахованные лица), могут самостоятельно выбрать кому доверить свои пенсионные накопления: НПФ, управляющей компании или оставить свои пенсионные накопления в управлении Социальным фондом Кыргызской Республики.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Пенсионные активы НПФ «Кыргызстан» на 01.01.2019 г. составили 15 419,9 тыс сомов. Количество вкладчиков - 1 904 человека, получателей – 165 человек.</w:t>
      </w:r>
    </w:p>
    <w:p>
      <w:pPr>
        <w:pStyle w:val="Normal"/>
        <w:spacing w:lineRule="auto" w:line="240"/>
        <w:ind w:left="0" w:right="0"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ind w:left="0" w:right="0" w:firstLine="709"/>
        <w:jc w:val="right"/>
        <w:outlineLvl w:val="0"/>
        <w:rPr>
          <w:rFonts w:ascii="Times New Roman" w:hAnsi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/>
          <w:b/>
          <w:i/>
          <w:color w:val="000000"/>
          <w:sz w:val="24"/>
          <w:szCs w:val="28"/>
        </w:rPr>
      </w:r>
    </w:p>
    <w:p>
      <w:pPr>
        <w:pStyle w:val="Normal"/>
        <w:spacing w:lineRule="auto" w:line="240"/>
        <w:ind w:left="0" w:right="0" w:firstLine="709"/>
        <w:jc w:val="right"/>
        <w:outlineLvl w:val="0"/>
        <w:rPr>
          <w:rFonts w:ascii="Times New Roman" w:hAnsi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/>
          <w:b/>
          <w:i/>
          <w:color w:val="000000"/>
          <w:sz w:val="24"/>
          <w:szCs w:val="28"/>
        </w:rPr>
      </w:r>
    </w:p>
    <w:p>
      <w:pPr>
        <w:pStyle w:val="Normal"/>
        <w:spacing w:lineRule="auto" w:line="240"/>
        <w:ind w:left="0" w:right="0" w:firstLine="709"/>
        <w:jc w:val="right"/>
        <w:outlineLvl w:val="0"/>
        <w:rPr>
          <w:rFonts w:ascii="Times New Roman" w:hAnsi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/>
          <w:b/>
          <w:i/>
          <w:color w:val="000000"/>
          <w:sz w:val="24"/>
          <w:szCs w:val="28"/>
        </w:rPr>
      </w:r>
    </w:p>
    <w:p>
      <w:pPr>
        <w:pStyle w:val="Normal"/>
        <w:spacing w:lineRule="auto" w:line="240"/>
        <w:ind w:left="0" w:right="0" w:firstLine="709"/>
        <w:jc w:val="right"/>
        <w:outlineLvl w:val="0"/>
        <w:rPr>
          <w:rFonts w:ascii="Times New Roman" w:hAnsi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/>
          <w:b/>
          <w:i/>
          <w:color w:val="000000"/>
          <w:sz w:val="24"/>
          <w:szCs w:val="28"/>
        </w:rPr>
        <w:t>Диаграмма 1.5</w:t>
      </w:r>
    </w:p>
    <w:p>
      <w:pPr>
        <w:pStyle w:val="Normal"/>
        <w:spacing w:lineRule="auto" w:line="240"/>
        <w:rPr/>
      </w:pPr>
      <w:r>
        <w:rPr/>
        <w:drawing>
          <wp:inline distT="0" distB="0" distL="0" distR="0">
            <wp:extent cx="5764530" cy="245745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spacing w:lineRule="auto" w:line="240"/>
        <w:ind w:left="0" w:right="0" w:firstLine="709"/>
        <w:jc w:val="right"/>
        <w:outlineLvl w:val="0"/>
        <w:rPr>
          <w:rFonts w:ascii="Times New Roman" w:hAnsi="Times New Roman"/>
          <w:b/>
          <w:i/>
          <w:color w:val="000000"/>
          <w:szCs w:val="28"/>
        </w:rPr>
      </w:pPr>
      <w:r>
        <w:rPr>
          <w:rFonts w:ascii="Times New Roman" w:hAnsi="Times New Roman"/>
          <w:b/>
          <w:i/>
          <w:color w:val="000000"/>
          <w:szCs w:val="28"/>
        </w:rPr>
      </w:r>
    </w:p>
    <w:p>
      <w:pPr>
        <w:pStyle w:val="Normal"/>
        <w:spacing w:lineRule="auto" w:line="240"/>
        <w:ind w:left="0" w:right="0" w:firstLine="709"/>
        <w:jc w:val="right"/>
        <w:outlineLvl w:val="0"/>
        <w:rPr>
          <w:rFonts w:ascii="Times New Roman" w:hAnsi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/>
          <w:b/>
          <w:i/>
          <w:color w:val="000000"/>
          <w:sz w:val="24"/>
          <w:szCs w:val="28"/>
        </w:rPr>
        <w:t>Диаграмма 1.6</w:t>
      </w:r>
    </w:p>
    <w:p>
      <w:pPr>
        <w:pStyle w:val="Paragraph"/>
        <w:ind w:left="0" w:right="0" w:hanging="0"/>
        <w:rPr/>
      </w:pPr>
      <w:r>
        <w:rPr/>
        <w:drawing>
          <wp:inline distT="0" distB="0" distL="0" distR="0">
            <wp:extent cx="5753100" cy="238125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ListParagraph"/>
        <w:ind w:left="1069" w:right="0" w:hanging="0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Низкий уровень пенсионного обеспечения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Отношение средней пенсии к среднему заработку в Кыргызской Республике не соответствует нормам установленным Конвенцией Международной организации труда (№ 102) о минимальных стандартах в социальной защите (28 %). Проблема низкого уровня пенсий в большей степени является следствием общих экономических условий в стране.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Значительный объем финансовых ресурсов пенсионной системы направляется на выплаты базовой части пенсии, которая ежегодно требует около 3 млрд сомов и используется для перераспределения с целью поддержания минимального уровня доходов малообеспеченных групп населения, в то время как страховые взносы должны формировать страховую часть пенсии. При сохранении условно-распределительной системы сохраняются проблемы эквивалентности доходов и обязательств в долгосрочной перспективе, защиты от инфляции уплаченных взносов. Суммы, отраженные на личных страховых счетах, не накапливаются и не инвестируются, а направляются на текущее финансирование пенсий. Условно-накопительная система характеризуется накоплением пенсионных обязательств, но не самих пенсионных активов.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Кроме того, существует проблема недостаточного уровня пенсионного обеспечения сельских тружеников, т.к. действующие тарифы страховых взносов для крестьянских (фермерских) хозяйств ведут к формированию низкого уровня будущей пенсии данной категории лиц.</w:t>
      </w:r>
    </w:p>
    <w:p>
      <w:pPr>
        <w:pStyle w:val="ListParagraph"/>
        <w:shd w:fill="FFFFFF" w:val="clear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shd w:fill="FFFFFF" w:val="clear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Низкий уровень заработной платы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Уровень пенсионного обеспечения и финансовое состояние пенсионного фонда, прежде всего, зависят от объема фонда оплаты труда и его доли в ВВП. Низкий уровень заработной платы не позволяет населению совершать дополнительные вложения. </w:t>
      </w:r>
    </w:p>
    <w:p>
      <w:pPr>
        <w:pStyle w:val="ListParagraph"/>
        <w:shd w:fill="FFFFFF" w:val="clear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ListParagraph"/>
        <w:shd w:fill="FFFFFF" w:val="clear"/>
        <w:jc w:val="center"/>
        <w:rPr>
          <w:rFonts w:cs="Times New Roman" w:ascii="Times New Roman" w:hAnsi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Недостаточное осознание населением преимуществ НПФ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Своевременное создание законодательной базы позволит сформировать более надежную и эффективную национальную систему негосударственного пенсионного обеспечения, при этом отвечающуюмеждународным стандартам, что соответственно будет способствовать повышению доверия населения к частным пенсионным системам. От этого фактора зависит рост объемов долгосрочных сбережений населения, аккумулированных за счет взносов в накопительные фонды, и их направление в реальный сектор экономики.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Опыт формирования пенсионных накоплений показал ряд проблем накопительной составляющей пенсионной системы, основными из которых являются: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незаинтересованность граждан и работодателей в управлении пенсионными ресурсами и их накапливании;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недостаточность пенсионных накоплений для достойного уровня пенсионных выплат при наступлении старости;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недостаточный охват населения услугами накопительных пенсионных фондов;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отсутствие стимулов к развитию добровольного формирования пенсионных накоплений;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неосведомленность и финансовая неграмотность населения; 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отсутствие сотрудничества между работодателями и НПФ;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низкий уровень доверия к НПФ.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color w:val="000000"/>
          <w:szCs w:val="28"/>
          <w:shd w:fill="FFFFFF" w:val="clear"/>
        </w:rPr>
      </w:pPr>
      <w:r>
        <w:rPr>
          <w:rFonts w:ascii="Times New Roman" w:hAnsi="Times New Roman"/>
          <w:b/>
          <w:color w:val="000000"/>
          <w:szCs w:val="28"/>
          <w:shd w:fill="FFFFFF" w:val="clear"/>
        </w:rPr>
        <w:t>5. Лотерейная деятельность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С 2016 года государством предприняты шаги по введению запрета на лотерейную деятельность, за исключением деятельности государственных компаний и 10 мая 2017 года Закон Кыргызской Республики «О лотереях» принят в новой редакции.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 соответствии с указанным Законом на территории Кыргызской Республики лотереи по способу розыгрыша подразделяются на мгновенную и тиражную, по типу делятся на следующие виды: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1) государственная лотерея - лотерея, организатором которой выступают государственные органы;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2) профессиональная лотерея - лотерея, проводимая организатором профессиональной лотереи на основании лицензии в целях получения прибыли;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3) стимулирующая лотерея - лотерея, проводимая организатором стимулирующей лотереи в рекламных целях или в целях стимулирования продажи товаров, услуг. При этом участие не требует покупки специального билета либо дополнительной оплаты.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 целях обеспечения полноценного функционирования механизма организации и проведения государственной лотереи в Кыргызской Республике постановлением Правительства Кыргызской Республики от 17 июня 2016 года № 339 образовано Государственное предприятие «Государственная лотерейная компания». В соответствии с данным постановлением Государственное предприятие «Государственная лотерейная компания» уполномочена на проведение профессиональной лотереи.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Основными задачами Государственной лотерейной компании являются: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осуществление лотерейной деятельности;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содействие в развитии спорта, культуры, образования, науки, искусства, духовного развития личности;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оказание финансовой поддержки в реализации комплексных социальных мероприятий в области защиты детей, молодежи, пожилых граждан, лиц с ограниченными возможностями здоровья, малообеспеченных семей.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 2018 год в результате экспертизы представленных документов на соответствие требованиям законодательства в области лицензионно-разрешительной деятельности выдано 64 разрешения </w:t>
      </w:r>
      <w:r>
        <w:rPr>
          <w:rFonts w:ascii="Times New Roman" w:hAnsi="Times New Roman"/>
          <w:bCs/>
          <w:szCs w:val="28"/>
          <w:lang w:val="ky-KG"/>
        </w:rPr>
        <w:t>на проведение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  <w:lang w:val="ky-KG"/>
        </w:rPr>
        <w:t xml:space="preserve">организаторами </w:t>
      </w:r>
      <w:r>
        <w:rPr>
          <w:rFonts w:ascii="Times New Roman" w:hAnsi="Times New Roman"/>
          <w:bCs/>
          <w:szCs w:val="28"/>
        </w:rPr>
        <w:t>стимулирующей лотереи.</w:t>
      </w:r>
    </w:p>
    <w:p>
      <w:pPr>
        <w:pStyle w:val="Normal"/>
        <w:spacing w:lineRule="auto" w:line="240"/>
        <w:ind w:left="0" w:right="0" w:firstLine="7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Низкий уровень доверия населения к лотерее, низкая заинтересованность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последние годы на лотерейном рынке произошли значительные изменения. Если раньше бумажные лотереи были популярны, то после закрытия игорных и букмекерских заведений, многие организаторы азартных игр начали свою деятельность камуфлированием под лотерейную деятельность, так</w:t>
      </w:r>
      <w:r>
        <w:rPr>
          <w:rFonts w:ascii="Times New Roman" w:hAnsi="Times New Roman"/>
          <w:szCs w:val="28"/>
          <w:lang w:val="ky-KG"/>
        </w:rPr>
        <w:t>ую</w:t>
      </w:r>
      <w:r>
        <w:rPr>
          <w:rFonts w:ascii="Times New Roman" w:hAnsi="Times New Roman"/>
          <w:szCs w:val="28"/>
        </w:rPr>
        <w:t xml:space="preserve"> как электронные лотереи. Значительный рост реализации лотерей, и как следствие увеличение оборота вызван деятельностью некоторых лотерейных компаний</w:t>
      </w:r>
      <w:r>
        <w:rPr>
          <w:rFonts w:ascii="Times New Roman" w:hAnsi="Times New Roman"/>
          <w:szCs w:val="28"/>
          <w:lang w:val="ky-KG"/>
        </w:rPr>
        <w:t>,</w:t>
      </w:r>
      <w:r>
        <w:rPr>
          <w:rFonts w:ascii="Times New Roman" w:hAnsi="Times New Roman"/>
          <w:szCs w:val="28"/>
        </w:rPr>
        <w:t xml:space="preserve"> проводящих электронные лотереи. В свою очередь </w:t>
      </w:r>
      <w:r>
        <w:rPr>
          <w:rFonts w:ascii="Times New Roman" w:hAnsi="Times New Roman"/>
          <w:szCs w:val="28"/>
          <w:lang w:val="ky-KG"/>
        </w:rPr>
        <w:t>наблюдается</w:t>
      </w:r>
      <w:r>
        <w:rPr>
          <w:rFonts w:ascii="Times New Roman" w:hAnsi="Times New Roman"/>
          <w:szCs w:val="28"/>
        </w:rPr>
        <w:t xml:space="preserve"> тренд </w:t>
      </w:r>
      <w:r>
        <w:rPr>
          <w:rFonts w:ascii="Times New Roman" w:hAnsi="Times New Roman"/>
          <w:szCs w:val="28"/>
          <w:lang w:val="ky-KG"/>
        </w:rPr>
        <w:t>по</w:t>
      </w:r>
      <w:r>
        <w:rPr>
          <w:rFonts w:ascii="Times New Roman" w:hAnsi="Times New Roman"/>
          <w:szCs w:val="28"/>
        </w:rPr>
        <w:t xml:space="preserve"> снижени</w:t>
      </w:r>
      <w:r>
        <w:rPr>
          <w:rFonts w:ascii="Times New Roman" w:hAnsi="Times New Roman"/>
          <w:szCs w:val="28"/>
          <w:lang w:val="ky-KG"/>
        </w:rPr>
        <w:t>ю</w:t>
      </w:r>
      <w:r>
        <w:rPr>
          <w:rFonts w:ascii="Times New Roman" w:hAnsi="Times New Roman"/>
          <w:szCs w:val="28"/>
        </w:rPr>
        <w:t xml:space="preserve"> объемов реализации бумажных лотерей, что крайне негативно влияет на общую картину лотерейного рынка. Главной причиной слабой популяризации лотереи остается низкий уровень доверия населения к лотерейному продукту (собственно к любой лотере</w:t>
      </w:r>
      <w:r>
        <w:rPr>
          <w:rFonts w:ascii="Times New Roman" w:hAnsi="Times New Roman"/>
          <w:szCs w:val="28"/>
          <w:lang w:val="ky-KG"/>
        </w:rPr>
        <w:t>е</w:t>
      </w:r>
      <w:r>
        <w:rPr>
          <w:rFonts w:ascii="Times New Roman" w:hAnsi="Times New Roman"/>
          <w:szCs w:val="28"/>
        </w:rPr>
        <w:t xml:space="preserve">). В свою очередь уровень доверия населения формируется в зависимости от размера призового фонда лотереи и прозрачности розыгрыша. Наглядно доказано, что если в электронных лотереях размер призового фонда составляет от 65 </w:t>
      </w:r>
      <w:r>
        <w:rPr>
          <w:rFonts w:ascii="Times New Roman" w:hAnsi="Times New Roman"/>
          <w:szCs w:val="28"/>
          <w:lang w:val="ky-KG"/>
        </w:rPr>
        <w:t xml:space="preserve">% </w:t>
      </w:r>
      <w:r>
        <w:rPr>
          <w:rFonts w:ascii="Times New Roman" w:hAnsi="Times New Roman"/>
          <w:szCs w:val="28"/>
        </w:rPr>
        <w:t>до 85%, то и популярность этой лотереи все время возрастает, а если фактический размер призового фонда составляет 38-50</w:t>
      </w:r>
      <w:r>
        <w:rPr>
          <w:rFonts w:ascii="Times New Roman" w:hAnsi="Times New Roman"/>
          <w:szCs w:val="28"/>
          <w:lang w:val="ky-KG"/>
        </w:rPr>
        <w:t xml:space="preserve"> </w:t>
      </w:r>
      <w:r>
        <w:rPr>
          <w:rFonts w:ascii="Times New Roman" w:hAnsi="Times New Roman"/>
          <w:szCs w:val="28"/>
        </w:rPr>
        <w:t>%, то и объемы реализации такой лотереи сравнительно невелики. При этом в электронных лотереях  государственным органам трудно проверить размер призового фонда из-за отсутствия соответствующ</w:t>
      </w:r>
      <w:r>
        <w:rPr>
          <w:rFonts w:ascii="Times New Roman" w:hAnsi="Times New Roman"/>
          <w:szCs w:val="28"/>
          <w:lang w:val="ky-KG"/>
        </w:rPr>
        <w:t xml:space="preserve">его </w:t>
      </w:r>
      <w:r>
        <w:rPr>
          <w:rFonts w:ascii="Times New Roman" w:hAnsi="Times New Roman"/>
          <w:szCs w:val="28"/>
        </w:rPr>
        <w:t xml:space="preserve">оборудования. 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</w:r>
    </w:p>
    <w:p>
      <w:pPr>
        <w:pStyle w:val="Normal"/>
        <w:tabs>
          <w:tab w:val="left" w:pos="1170" w:leader="none"/>
        </w:tabs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Раздел </w:t>
      </w:r>
      <w:r>
        <w:rPr>
          <w:rFonts w:ascii="Times New Roman" w:hAnsi="Times New Roman"/>
          <w:b/>
          <w:szCs w:val="28"/>
          <w:lang w:val="en-US"/>
        </w:rPr>
        <w:t>II</w:t>
      </w:r>
      <w:r>
        <w:rPr>
          <w:rFonts w:ascii="Times New Roman" w:hAnsi="Times New Roman"/>
          <w:b/>
          <w:szCs w:val="28"/>
        </w:rPr>
        <w:t>. Стратегические приоритеты развития небанковского финансового рынка</w:t>
      </w:r>
    </w:p>
    <w:p>
      <w:pPr>
        <w:pStyle w:val="Normal"/>
        <w:tabs>
          <w:tab w:val="left" w:pos="1170" w:leader="none"/>
        </w:tabs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tabs>
          <w:tab w:val="left" w:pos="1170" w:leader="none"/>
        </w:tabs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 Рынок ценных бумаг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  <w:lang w:val="ky-KG"/>
        </w:rPr>
      </w:pPr>
      <w:r>
        <w:rPr>
          <w:rFonts w:ascii="Times New Roman" w:hAnsi="Times New Roman"/>
          <w:b/>
          <w:szCs w:val="28"/>
        </w:rPr>
        <w:t xml:space="preserve">Цели, задачи и результаты развития </w:t>
      </w:r>
      <w:r>
        <w:rPr>
          <w:rFonts w:ascii="Times New Roman" w:hAnsi="Times New Roman"/>
          <w:b/>
          <w:szCs w:val="28"/>
          <w:lang w:val="ky-KG"/>
        </w:rPr>
        <w:t xml:space="preserve">рынка ценных бумаг </w:t>
      </w:r>
    </w:p>
    <w:p>
      <w:pPr>
        <w:pStyle w:val="Normal"/>
        <w:shd w:fill="FFFFFF" w:val="clear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Основной целью развития рынка ценных бумаг является создание условий для эффективного функционирования рынка ценных бумаг, как механизма перераспределения финансовых ресурсов, способствующего увеличению объемов инвестиций в экономику страны.</w:t>
      </w:r>
    </w:p>
    <w:p>
      <w:pPr>
        <w:pStyle w:val="Normal"/>
        <w:shd w:fill="FFFFFF" w:val="clear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достижения поставленной цели предусматривается решение следующих основных задач:</w:t>
      </w:r>
    </w:p>
    <w:p>
      <w:pPr>
        <w:pStyle w:val="ListParagraph"/>
        <w:numPr>
          <w:ilvl w:val="0"/>
          <w:numId w:val="4"/>
        </w:numPr>
        <w:shd w:fill="FFFFFF" w:val="clear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повышение уровня финансовой грамотности населения по вопросам использования финансовых инструментов;</w:t>
      </w:r>
    </w:p>
    <w:p>
      <w:pPr>
        <w:pStyle w:val="ListParagraph"/>
        <w:numPr>
          <w:ilvl w:val="0"/>
          <w:numId w:val="4"/>
        </w:numPr>
        <w:shd w:fill="FFFFFF" w:val="clear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создание условий для практического выпуска новых видов финансовых инструментов на фондовом рынке Кыргызской Республики, а также предоставление преференций в налогообложении субъектам рынка ценных бумаг, активно привлекающим денежные средства на фондовом рынке;</w:t>
      </w:r>
    </w:p>
    <w:p>
      <w:pPr>
        <w:pStyle w:val="ListParagraph"/>
        <w:numPr>
          <w:ilvl w:val="0"/>
          <w:numId w:val="4"/>
        </w:numPr>
        <w:shd w:fill="FFFFFF" w:val="clear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повышение защиты прав держателей ценных бумаг, исключение риска возможности дефолтов по выпущенным ценным бумагам путем совершенствования требований к эмитентам ценных бумаг и профессиональным участникам рынка ценных бумаг;</w:t>
      </w:r>
    </w:p>
    <w:p>
      <w:pPr>
        <w:pStyle w:val="ListParagraph"/>
        <w:numPr>
          <w:ilvl w:val="0"/>
          <w:numId w:val="4"/>
        </w:numPr>
        <w:shd w:fill="FFFFFF" w:val="clear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обеспечение защищенности прав собственности на ценные бумаги, повышение доверия со стороны инвесторов и участников к институтам фондового рынка, а также повышения конкурентоспособности национального фондового рынка в целом на региональном уровне;</w:t>
      </w:r>
    </w:p>
    <w:p>
      <w:pPr>
        <w:pStyle w:val="ListParagraph"/>
        <w:numPr>
          <w:ilvl w:val="0"/>
          <w:numId w:val="4"/>
        </w:numPr>
        <w:shd w:fill="FFFFFF" w:val="clear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повышение прозрачности финансового рынка для оценки уровня защищенности инвесторов и информационной прозрачности рынка ценных бумаг;</w:t>
      </w:r>
    </w:p>
    <w:p>
      <w:pPr>
        <w:pStyle w:val="ListParagraph"/>
        <w:numPr>
          <w:ilvl w:val="0"/>
          <w:numId w:val="4"/>
        </w:numPr>
        <w:shd w:fill="FFFFFF" w:val="clear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стимулирование активной деятельности на фондовом рынке, укрепление их бюджетной дисциплины, повышение корпоративного управления;</w:t>
      </w:r>
    </w:p>
    <w:p>
      <w:pPr>
        <w:pStyle w:val="ListParagraph"/>
        <w:numPr>
          <w:ilvl w:val="0"/>
          <w:numId w:val="4"/>
        </w:numPr>
        <w:shd w:fill="FFFFFF" w:val="clear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создание единого организованного рынка ценных бумаг, наряду с внебиржевым рынком, перевод размещения и обращения всех видов ценных бумаг, за исключением ценных бумаг Национального банка Кыргызской Республики, на торговую площадку лицензированного организатора торгов, универсализация биржевой деятельности (возможность обращения товарных  и фондовых инструментов на одной площадке);</w:t>
      </w:r>
    </w:p>
    <w:p>
      <w:pPr>
        <w:pStyle w:val="ListParagraph"/>
        <w:numPr>
          <w:ilvl w:val="0"/>
          <w:numId w:val="4"/>
        </w:numPr>
        <w:shd w:fill="FFFFFF" w:val="clear"/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переход на цифровую экономику и внедрение современных технологий:</w:t>
      </w:r>
    </w:p>
    <w:p>
      <w:pPr>
        <w:pStyle w:val="Normal"/>
        <w:shd w:fill="FFFFFF" w:val="clear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создание электронной базы данных и/или Центра раскрытия информации об отчетности субъектов рынка ценных бумаг, наряду с этим переход на электронное предоставление отчетности всеми субъектами рынка ценных бумаг;</w:t>
      </w:r>
    </w:p>
    <w:p>
      <w:pPr>
        <w:pStyle w:val="Normal"/>
        <w:shd w:fill="FFFFFF" w:val="clear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государственные услуги в области небанковского финансового рынка ценных бумаг перевести на электронный формат.</w:t>
      </w:r>
    </w:p>
    <w:p>
      <w:pPr>
        <w:pStyle w:val="Normal"/>
        <w:shd w:fill="FFFFFF" w:val="clear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создания общего финансового рынка в рамках Евразийского экономического союза, обеспечения взаимного признания лицензий на осуществление видов деятельности на рынке ценных бумаг и недискриминационного доступа на финансовые рынки государств - членов Евразийского экономического союза, необходимо основные усилия направить на гармонизацию законодательства государств - членов Евразийского экономического союза, с учётом интересов Кыргызской Республики и защиты национального фондового рынка, а также укрепление конкурентоспособности его участников.</w:t>
      </w:r>
    </w:p>
    <w:p>
      <w:pPr>
        <w:pStyle w:val="Normal"/>
        <w:shd w:fill="FFFFFF" w:val="clear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результате взаимного допуска профессиональных участников рынка ценных бумаг государств – членов Евразийского экономического союза, перед финансовыми организациями встанут проблемы, связанные с ростом проникновения финансовых услуг, оказываемых иностранными профессиональными участниками рынка ценных бумаг, и усиления конкуренции на внутреннем рынке. Развитие интегрированных информационных технологий, а также стратегическое партнерство финансовых и технологических организаций изменят привычный уклад предоставления финансовых услуг. Отечественные финансовые организации должны быть конкурентоспособными. В этих условиях рост конкурентоспособности невозможен за счет экстенсивного увеличения масштабов бизнеса. Он должен также базироваться на улучшении качества бизнес-стратегий и процессов, позволяющих быстро адаптировать новые тренды и технологии предоставления финансовых услуг потребителям.</w:t>
      </w:r>
    </w:p>
    <w:p>
      <w:pPr>
        <w:pStyle w:val="Normal"/>
        <w:tabs>
          <w:tab w:val="left" w:pos="709" w:leader="none"/>
        </w:tabs>
        <w:spacing w:lineRule="auto" w:line="240" w:before="0" w:after="10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В период до 2025 года планируется завершить процесс гармонизации законодательства стран-участниц Евразийского экономического союза, определяющих развитие финансовых услуг. </w:t>
      </w:r>
    </w:p>
    <w:p>
      <w:pPr>
        <w:pStyle w:val="Normal"/>
        <w:tabs>
          <w:tab w:val="left" w:pos="709" w:leader="none"/>
        </w:tabs>
        <w:spacing w:lineRule="auto" w:line="240" w:before="0" w:after="100"/>
        <w:ind w:left="0" w:right="0" w:firstLine="709"/>
        <w:contextualSpacing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>Также к 2025 году планируется начало функционирования общего финансового рынка (ОФР) на территории ЕАЭС.</w:t>
      </w:r>
      <w:r>
        <w:rPr>
          <w:rFonts w:ascii="Times New Roman" w:hAnsi="Times New Roman"/>
          <w:b/>
          <w:bCs/>
          <w:szCs w:val="28"/>
        </w:rPr>
        <w:t xml:space="preserve"> </w:t>
      </w:r>
    </w:p>
    <w:p>
      <w:pPr>
        <w:pStyle w:val="Normal"/>
        <w:tabs>
          <w:tab w:val="left" w:pos="709" w:leader="none"/>
        </w:tabs>
        <w:spacing w:lineRule="auto" w:line="240" w:before="0" w:after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Процесс формирования ОФР сопряжен с процессом формирования цифровой экономики и учитывает необходимость создания условий для развития финансовых технологий и поддержки инноваций на финансовых рынках, в том числе направленных на снижение издержек для финансовых организаций, расширение доступности финансовых услуг, снижение стоимости и обеспечение кибербезопасности финансовых услуг для потребителей и снижение рисков. </w:t>
      </w:r>
    </w:p>
    <w:p>
      <w:pPr>
        <w:pStyle w:val="Default"/>
        <w:spacing w:before="0" w:after="0"/>
        <w:ind w:left="0" w:right="0" w:firstLine="709"/>
        <w:contextualSpacing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При формировании ОФР особое внимание будет уделено снижению возможностей для регуляторного арбитража и концентрации рисков финансовой стабильности как на уровне отдельных стран, так и на ОФР в целом. Одним из критериев формирования ОФР является поддержание и улучшение уровня защиты прав потребителей финансовых услуг и инвесторов.</w:t>
      </w:r>
    </w:p>
    <w:p>
      <w:pPr>
        <w:pStyle w:val="Normal"/>
        <w:shd w:fill="FFFFFF" w:val="clear"/>
        <w:spacing w:lineRule="auto" w:line="240"/>
        <w:ind w:left="0" w:right="0" w:firstLine="709"/>
        <w:rPr>
          <w:rFonts w:ascii="Times New Roman" w:hAnsi="Times New Roman"/>
          <w:b/>
          <w:bCs/>
          <w:szCs w:val="28"/>
          <w:lang w:val="ky-KG"/>
        </w:rPr>
      </w:pPr>
      <w:r>
        <w:rPr>
          <w:rFonts w:ascii="Times New Roman" w:hAnsi="Times New Roman"/>
          <w:b/>
          <w:bCs/>
          <w:szCs w:val="28"/>
          <w:lang w:val="ky-KG"/>
        </w:rPr>
        <w:t>Основные задачи развития рынка ценных бумаг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Cs/>
          <w:szCs w:val="28"/>
          <w:lang w:val="ky-KG"/>
        </w:rPr>
      </w:pPr>
      <w:r>
        <w:rPr>
          <w:rFonts w:ascii="Times New Roman" w:hAnsi="Times New Roman"/>
          <w:bCs/>
          <w:szCs w:val="28"/>
          <w:lang w:val="ky-KG"/>
        </w:rPr>
        <w:t>В целях достижения обозначенной цели необходим многогранный подход в реализации основных мероприятий: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проведение анализа и совершенствование нормативной правовой базы и гармонизация законодательства в сфере рынка ценных бумаг;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внедрение полномасштабной образовательной и информационной системы по финансовой грамотности;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изменение законодательной базы, необходимой для передачи на аутсорсинг определенных функций и полномочий уполномоченного государственного органа по регулированию небанковского финансового сектора, а также внедрения новых информационных технологий, направленных на упрощение получения государственных услуг;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внедрение и применение современных онлайн технологий в области рынка ценных бумаг.</w:t>
      </w:r>
    </w:p>
    <w:p>
      <w:pPr>
        <w:pStyle w:val="Normal"/>
        <w:spacing w:lineRule="auto" w:line="240"/>
        <w:ind w:left="0" w:right="0" w:firstLine="36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Проведение анализа и совершенствование нормативной правовой базы и гармонизация законодательства в сфере рынка ценных бумаг.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  <w:lang w:val="ky-KG"/>
        </w:rPr>
      </w:pPr>
      <w:r>
        <w:rPr>
          <w:rFonts w:ascii="Times New Roman" w:hAnsi="Times New Roman"/>
          <w:szCs w:val="28"/>
          <w:lang w:val="ky-KG"/>
        </w:rPr>
        <w:t>Для достижения поставленной задачи необходимо совершенствование нормативной правовой базы, а именно:</w:t>
      </w:r>
    </w:p>
    <w:p>
      <w:pPr>
        <w:pStyle w:val="ListParagraph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ky-KG"/>
        </w:rPr>
        <w:t>в</w:t>
      </w:r>
      <w:r>
        <w:rPr>
          <w:rFonts w:cs="Times New Roman" w:ascii="Times New Roman" w:hAnsi="Times New Roman"/>
          <w:sz w:val="28"/>
          <w:szCs w:val="28"/>
          <w:lang w:val="ru-RU"/>
        </w:rPr>
        <w:t>несение в Закон Кыргызской Республики «О лицензионно-разрешительной системе в Кыргызской Республике» соответствующих изменений для признания электронных процедур подачи и выдачи разрешительных документов (согласования), а также отчетности и раскрытия информации с условием использования ЭЦП;</w:t>
      </w:r>
    </w:p>
    <w:p>
      <w:pPr>
        <w:pStyle w:val="ListParagraph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ky-KG"/>
        </w:rPr>
        <w:t>р</w:t>
      </w:r>
      <w:r>
        <w:rPr>
          <w:rFonts w:cs="Times New Roman" w:ascii="Times New Roman" w:hAnsi="Times New Roman"/>
          <w:sz w:val="28"/>
          <w:szCs w:val="28"/>
          <w:lang w:val="ru-RU"/>
        </w:rPr>
        <w:t>абота по гармонизации законодательства в финансовой сфере государств-членов ЕАЭС с ЕЭК и уполномоченными органами государств-членов ЕАЭС.</w:t>
      </w:r>
    </w:p>
    <w:p>
      <w:pPr>
        <w:pStyle w:val="Normal"/>
        <w:spacing w:lineRule="auto" w:line="240"/>
        <w:ind w:left="0" w:right="0" w:firstLine="36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Внедрение и применение современных онлайн технологий.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ky-KG"/>
        </w:rPr>
        <w:t>В целях реализации данного этапа, неообходимо с</w:t>
      </w:r>
      <w:r>
        <w:rPr>
          <w:rFonts w:ascii="Times New Roman" w:hAnsi="Times New Roman"/>
          <w:szCs w:val="28"/>
        </w:rPr>
        <w:t>оздание электронных баз данных: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реестр лицензионно-разрешительных документов;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резервный реестр держателей ценных бумаг в Кыргызской Республике;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центр раскрытия информации и отчетности (в т. ч. депозитарий финансовой отчетности).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ind w:left="0" w:right="0" w:firstLine="708"/>
        <w:jc w:val="lef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Ожидаемые результаты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 результате реализации Стратегии будут достигнуты следующие результаты:</w:t>
      </w:r>
    </w:p>
    <w:p>
      <w:pPr>
        <w:pStyle w:val="ListParagraph"/>
        <w:numPr>
          <w:ilvl w:val="0"/>
          <w:numId w:val="3"/>
        </w:numPr>
        <w:shd w:fill="FFFFFF" w:val="clear"/>
        <w:ind w:left="0" w:right="0" w:hanging="360"/>
        <w:jc w:val="both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всестороннее развитие и укрепление фондового рынка (его инфраструктуры); </w:t>
      </w:r>
    </w:p>
    <w:p>
      <w:pPr>
        <w:pStyle w:val="ListParagraph"/>
        <w:numPr>
          <w:ilvl w:val="0"/>
          <w:numId w:val="3"/>
        </w:numPr>
        <w:shd w:fill="FFFFFF" w:val="clear"/>
        <w:ind w:left="0" w:right="0" w:hanging="360"/>
        <w:jc w:val="both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повышение уровня финансовой грамотности населения по вопросам использования финансовых инструментов, увеличение объема сделок с ценными бумагами на фондовом рынке;</w:t>
      </w:r>
    </w:p>
    <w:p>
      <w:pPr>
        <w:pStyle w:val="ListParagraph"/>
        <w:numPr>
          <w:ilvl w:val="0"/>
          <w:numId w:val="3"/>
        </w:numPr>
        <w:shd w:fill="FFFFFF" w:val="clear"/>
        <w:ind w:left="0" w:right="0" w:hanging="360"/>
        <w:jc w:val="both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практический выпуск финансовых инструментов таких, как ипотечные ценные бумаги, исламские ценные бумаги (сукук), производные ценные бумаги, долговые эмиссионные ценные бумаги, обеспеченные залогом;</w:t>
      </w:r>
    </w:p>
    <w:p>
      <w:pPr>
        <w:pStyle w:val="ListParagraph"/>
        <w:numPr>
          <w:ilvl w:val="0"/>
          <w:numId w:val="3"/>
        </w:numPr>
        <w:shd w:fill="FFFFFF" w:val="clear"/>
        <w:ind w:left="0" w:right="0" w:hanging="360"/>
        <w:jc w:val="both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повышение информационной прозрачности на рынке ценных бумаг;</w:t>
      </w:r>
    </w:p>
    <w:p>
      <w:pPr>
        <w:pStyle w:val="ListParagraph"/>
        <w:numPr>
          <w:ilvl w:val="0"/>
          <w:numId w:val="3"/>
        </w:numPr>
        <w:shd w:fill="FFFFFF" w:val="clear"/>
        <w:ind w:left="0" w:right="0" w:hanging="360"/>
        <w:jc w:val="both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вовлечение и активное участие населения на фондовом рынке;</w:t>
      </w:r>
    </w:p>
    <w:p>
      <w:pPr>
        <w:pStyle w:val="ListParagraph"/>
        <w:numPr>
          <w:ilvl w:val="0"/>
          <w:numId w:val="3"/>
        </w:numPr>
        <w:shd w:fill="FFFFFF" w:val="clear"/>
        <w:ind w:left="0" w:right="0" w:hanging="360"/>
        <w:jc w:val="both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рост инвестирования, дедолларизация экономики страны;</w:t>
      </w:r>
    </w:p>
    <w:p>
      <w:pPr>
        <w:pStyle w:val="ListParagraph"/>
        <w:numPr>
          <w:ilvl w:val="0"/>
          <w:numId w:val="3"/>
        </w:numPr>
        <w:shd w:fill="FFFFFF" w:val="clear"/>
        <w:ind w:left="0" w:right="0" w:hanging="360"/>
        <w:jc w:val="both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сокращение риска коррупции при выдаче разрешительных документов.</w:t>
      </w:r>
    </w:p>
    <w:p>
      <w:pPr>
        <w:pStyle w:val="Normal"/>
        <w:spacing w:lineRule="auto" w:line="2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Ломбардная деятельность</w:t>
      </w:r>
    </w:p>
    <w:p>
      <w:pPr>
        <w:pStyle w:val="Paragrap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aragrap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Цель - четкая регламентация деятельности ломбардов путем создания законодательной базы с учетом передового опыта развитых стран и национальных особенностей Кыргызской Республики.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нормативной правовой базы; 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благоприятной среды для предпринимателей, осуществляющих ломбардную деятельность; 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- законодательная защита прав и интересов заемщиков.</w:t>
      </w:r>
    </w:p>
    <w:p>
      <w:pPr>
        <w:pStyle w:val="Paragrap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aragrap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этапы развития ломбардной деятельности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задач необходимо: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1. Разработать проекты нормативных правовых актов, регулирующих деятельность ломбардов;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2. Создать единую площадку (ассоциацию ломбардов) для обсуждения дальнейшей политики развития ломбардной деятельности в стране;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Принять меры по лицензированию ломбардов в регионах Кыргызской Республики.</w:t>
      </w:r>
    </w:p>
    <w:p>
      <w:pPr>
        <w:pStyle w:val="Paragrap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- создание и развитие механизма функционирования рынка ломбардных услуг в Кыргызской Республике;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- увеличение количества ломбардов в стране;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- увеличение денежных поступлений в виде налогов и иных платежей в бюджет страны;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- увеличение операций на небанковском финансовом рынке;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- расширение круга инвесторов как иностранных, так и отечественных;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- возможность увеличения количества новых рабочих мест.</w:t>
      </w:r>
    </w:p>
    <w:p>
      <w:pPr>
        <w:pStyle w:val="Normal"/>
        <w:spacing w:lineRule="auto" w:line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/>
        <w:ind w:left="0" w:right="0"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 Страховая деятельность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Цели и задачи</w:t>
      </w:r>
    </w:p>
    <w:p>
      <w:pPr>
        <w:pStyle w:val="Normal"/>
        <w:widowControl w:val="false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Основной целью государственной политики в страховой деятельности является комплексное содействие развитию страховой отрасли, в частности приведению ее в стратегически значимый сектор национальной экономики, обеспечивающий: повышение экономической стабильности общества, снижение социальной напряженности и создание условий для привлечения инвестиционных ресурсов в экономику страны.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Стратегия направлена на решение следующих задач: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повышение страховой культуры населения и популяризация инструментов страхования;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совершенствование нормативно-правовой базы в части повышения уровня защиты участников страховых правоотношений;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обеспечение исполнения хозяйствующими субъектами требований законов об обязательном страховании;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совершенствование системы надзора за страховыми организациями, в части повышения финансовой устойчивости и платежеспособности страховых организаций;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объединение усилий государственных органов и объединений страховщиков в развитии страхового рынка;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развитие добросовестной конкуренции на страховом рынке;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создание условий для вывода на рынок новых страховых продуктов.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Основные этапы развития страховой деятельности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Государственная политика в сфере развития страховой отрасли на среднесрочную перспективу должна исходить из принципа гармонизации соотношения обязательного и добровольного страхования, который предусматривает: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приоритет добровольной формы страхования над обязательной, ограничение доли обязательных видов страхования;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использование страхования в качестве дополнительного элемента к иным методам и формам обеспечения гражданской ответственности и исполнения обязательств;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введение новых видов страхования в обязательной форме исключительно при наличии высокого уровня риска, представляющего угрозу для большого числа объектов, в размере, заведомо превышающем возможность его компенсации самим объектом причинившим вред, эффективности и выгодности страхования по сравнению с другими инструментами управления рисками, соблюдение иных принципов обязательного страхования.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недопущения дискриминации прав и интересов граждан, жизни и здоровью которых причинен вред, в зависимости от обстоятельств причинения вреда, выражающейся в колебании размеров страховых выплат, следует: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провести поэтапную унификацию размеров страховых сумм в части возмещения вреда, причиненного жизни и здоровью потерпевших (застрахованных лиц);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законодательно закрепить единые подходы к определению размера ущерба, причиненного жизни, здоровью потерпевших, а также выработать единые подходы и методики к определению размера убытков, вызванных повреждением имущества;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систематически (не реже одного раза в пять лет) проводить корректировку размеров страховых сумм и компенсаций с учетом изменения уровня жизни в Кыргызской Республике.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Ожидаемые результаты 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достижения вышеуказанных задач необходимо:</w:t>
      </w:r>
    </w:p>
    <w:p>
      <w:pPr>
        <w:pStyle w:val="Normal"/>
        <w:spacing w:lineRule="auto" w:line="240"/>
        <w:ind w:left="0" w:righ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повышение роли страхового сектора в национальной экономике (повышение доли страховых премий в ВВП с 0,25 % до 1 %).</w:t>
      </w:r>
    </w:p>
    <w:p>
      <w:pPr>
        <w:pStyle w:val="Normal"/>
        <w:widowControl w:val="false"/>
        <w:spacing w:lineRule="auto" w:line="240"/>
        <w:ind w:left="0" w:righ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создание условий, обеспечивающих развитие добровольных видов страхования, взаимного страхования, новых подходов к страхованию, направленных на удовлетворение массовой потребности в страховых услугах;</w:t>
      </w:r>
    </w:p>
    <w:p>
      <w:pPr>
        <w:pStyle w:val="Normal"/>
        <w:widowControl w:val="false"/>
        <w:spacing w:lineRule="auto" w:line="240"/>
        <w:ind w:left="0" w:righ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повышение инвестиционной привлекательности и формирование добросовестной конструктивной конкуренции, обеспечивающей качество страховых услуг и эффективность страховой деятельности;</w:t>
      </w:r>
    </w:p>
    <w:p>
      <w:pPr>
        <w:pStyle w:val="Normal"/>
        <w:widowControl w:val="false"/>
        <w:spacing w:lineRule="auto" w:line="240"/>
        <w:ind w:left="0" w:righ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обеспечение баланса интересов между страховщиками, страховыми посредниками и страхователями (выгодоприобретателями), выработка мер по повышению качества предоставляемых страховщиками услуг в целях защиты прав потребителей страховых услуг, а также повышение их ответственности при выборе и организации способов страховой защиты и исполнении условий договоров страхования;</w:t>
      </w:r>
    </w:p>
    <w:p>
      <w:pPr>
        <w:pStyle w:val="Normal"/>
        <w:widowControl w:val="false"/>
        <w:spacing w:lineRule="auto" w:line="240"/>
        <w:ind w:left="0" w:righ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сокращение предпосылок для возникновения споров между страховщиками и потребителями их услуг;</w:t>
      </w:r>
    </w:p>
    <w:p>
      <w:pPr>
        <w:pStyle w:val="Normal"/>
        <w:widowControl w:val="false"/>
        <w:spacing w:lineRule="auto" w:line="240"/>
        <w:ind w:left="0" w:righ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создание эффективных механизмов досудебного урегулирования споров, в частности института страхового омбудсмена;</w:t>
      </w:r>
    </w:p>
    <w:p>
      <w:pPr>
        <w:pStyle w:val="Normal"/>
        <w:widowControl w:val="false"/>
        <w:spacing w:lineRule="auto" w:line="240"/>
        <w:ind w:left="0" w:righ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расширение сферы деятельности участников и субъектов страхового дела при обеспечении гарантий защиты прав потребителей их услуг;</w:t>
      </w:r>
    </w:p>
    <w:p>
      <w:pPr>
        <w:pStyle w:val="Normal"/>
        <w:widowControl w:val="false"/>
        <w:spacing w:lineRule="auto" w:line="240"/>
        <w:ind w:left="0" w:righ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повышение стабильности, надежности инфраструктуры страхового рынка, оперативности и эффективности его деятельности;</w:t>
      </w:r>
    </w:p>
    <w:p>
      <w:pPr>
        <w:pStyle w:val="Normal"/>
        <w:widowControl w:val="false"/>
        <w:spacing w:lineRule="auto" w:line="240"/>
        <w:ind w:left="0" w:righ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обеспечение эффективного использования бюджетных средств на страхование и повышение значимости страховой защиты.</w:t>
      </w:r>
    </w:p>
    <w:p>
      <w:pPr>
        <w:pStyle w:val="Normal"/>
        <w:spacing w:lineRule="auto" w:line="2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 Накопительная пенсионная система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Цели и задачи</w:t>
      </w:r>
    </w:p>
    <w:p>
      <w:pPr>
        <w:pStyle w:val="Normal"/>
        <w:spacing w:lineRule="auto" w:line="240"/>
        <w:ind w:left="10" w:right="0" w:firstLine="69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Основным принципом реформирования института накопительной составляющей пенсионной системы является повышение ее эффективности в целях улучшения пенсионного обеспечения граждан за счет формирования и инвестирования средств пенсионных накоплений.</w:t>
      </w:r>
    </w:p>
    <w:p>
      <w:pPr>
        <w:pStyle w:val="Paragraph"/>
        <w:ind w:left="0" w:right="0" w:firstLine="698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добровольных (корпоративных) пенсионных систем и возможность широкого охвата населения корпоративным пенсионным обеспечением. </w:t>
      </w:r>
    </w:p>
    <w:p>
      <w:pPr>
        <w:pStyle w:val="Paragraph"/>
        <w:ind w:left="0" w:right="0" w:firstLine="698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синхронизации обязательного пенсионного страхования с другими видами добровольных (корпоративных) пенсионных накоплений. </w:t>
      </w:r>
    </w:p>
    <w:p>
      <w:pPr>
        <w:pStyle w:val="Paragraph"/>
        <w:ind w:left="0" w:right="0" w:firstLine="69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системы государственного контроля за формированием средств пенсионных накоплений.</w:t>
      </w:r>
    </w:p>
    <w:p>
      <w:pPr>
        <w:pStyle w:val="Normal"/>
        <w:shd w:fill="FFFFFF" w:val="clear"/>
        <w:spacing w:lineRule="auto" w:line="240"/>
        <w:ind w:left="0" w:right="0" w:firstLine="69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Исходя из анализа проблемных вопросов, проявившихся в процессе функционирования накопительной составляющей пенсионной системы, предусматривается:</w:t>
      </w:r>
    </w:p>
    <w:p>
      <w:pPr>
        <w:pStyle w:val="Normal"/>
        <w:spacing w:lineRule="auto" w:line="240"/>
        <w:ind w:left="10" w:right="0" w:firstLine="5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расширение состава финансовых институтов, допускаемых к участию в формировании пенсионных накоплений; </w:t>
      </w:r>
    </w:p>
    <w:p>
      <w:pPr>
        <w:pStyle w:val="Normal"/>
        <w:spacing w:lineRule="auto" w:line="240"/>
        <w:ind w:left="10" w:right="0" w:firstLine="5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разработка нормативного правового акта, предусматривающего внедрение профессиональных пенсионных систем в Кыргызской Республике.</w:t>
      </w:r>
    </w:p>
    <w:p>
      <w:pPr>
        <w:pStyle w:val="Paragraph"/>
        <w:ind w:left="10" w:right="0" w:firstLine="557"/>
        <w:rPr>
          <w:sz w:val="28"/>
          <w:szCs w:val="28"/>
        </w:rPr>
      </w:pPr>
      <w:r>
        <w:rPr>
          <w:sz w:val="28"/>
          <w:szCs w:val="28"/>
        </w:rPr>
        <w:t>- содействие в создании и функционировании корпоративной пенсионной системы;</w:t>
      </w:r>
    </w:p>
    <w:p>
      <w:pPr>
        <w:pStyle w:val="Paragraph"/>
        <w:ind w:left="10" w:right="0" w:firstLine="557"/>
        <w:rPr>
          <w:sz w:val="28"/>
          <w:szCs w:val="28"/>
        </w:rPr>
      </w:pPr>
      <w:r>
        <w:rPr>
          <w:sz w:val="28"/>
          <w:szCs w:val="28"/>
        </w:rPr>
        <w:t>- содействие в развитии корпоративного пенсионного обеспечения.</w:t>
      </w:r>
    </w:p>
    <w:p>
      <w:pPr>
        <w:pStyle w:val="Normal"/>
        <w:shd w:fill="FFFFFF" w:val="clear"/>
        <w:spacing w:lineRule="auto" w:line="240"/>
        <w:ind w:left="10" w:right="0" w:firstLine="5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установление правовых основ создания и функционирования корпоративных и профессиональных пенсионных фондов;</w:t>
      </w:r>
    </w:p>
    <w:p>
      <w:pPr>
        <w:pStyle w:val="Normal"/>
        <w:shd w:fill="FFFFFF" w:val="clear"/>
        <w:spacing w:lineRule="auto" w:line="240"/>
        <w:ind w:left="10" w:right="0" w:firstLine="5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создание и внедрение профессиональных пенсионных систем в Кыргызской Республике.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Совершенствуя и развивая накопительные пенсионные фонды можно решить ряд проблем пенсионной системы нашей страны.  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Накопительная составляющая пенсионной системы требует модернизации, расширения перечня финансовых институтов, участвующих в соответствующих правоотношениях, инструментов для инвестирования средств пенсионных накоплений и создания эффективной системы контроля над инвестированием средств пенсионных накоплений. 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Создание НПФ в организационно-правовой форме акционерных обществ позволит стать таким НПФ полноправными участниками рынка, а также повысить прозрачность вопроса имущественной ответственности менеджмента и акционеров НПФ за последствия выполнения принятых ими неэффективных решений. Акционерная форма НПФ позволит усилить прозрачность в деятельности НПФ, а также перейти к системе рыночной оценки их эффективности и рейтинговать фонды. </w:t>
      </w:r>
    </w:p>
    <w:p>
      <w:pPr>
        <w:pStyle w:val="Normal"/>
        <w:shd w:fill="FFFFFF" w:val="clear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построения полномасштабной системы пенсионного обеспечения необходимо содействие созданию и внедрению корпоративного и профессионального пенсионного обеспечения.</w:t>
      </w:r>
    </w:p>
    <w:p>
      <w:pPr>
        <w:pStyle w:val="Normal"/>
        <w:widowControl w:val="false"/>
        <w:spacing w:lineRule="auto" w:line="240"/>
        <w:ind w:left="0" w:right="0" w:firstLine="540"/>
        <w:rPr>
          <w:rFonts w:eastAsia="Calibri" w:ascii="Times New Roman" w:hAnsi="Times New Roman"/>
          <w:szCs w:val="28"/>
        </w:rPr>
      </w:pPr>
      <w:r>
        <w:rPr>
          <w:rFonts w:eastAsia="Calibri" w:ascii="Times New Roman" w:hAnsi="Times New Roman"/>
          <w:szCs w:val="28"/>
        </w:rPr>
        <w:t>Негосударственное пенсионное обеспечение один из возможных факторов повышения материального благополучия пожилых людей.</w:t>
      </w:r>
    </w:p>
    <w:p>
      <w:pPr>
        <w:pStyle w:val="NormalWeb"/>
        <w:shd w:fill="FFFFFF" w:val="clear"/>
        <w:spacing w:before="280" w:after="280"/>
        <w:ind w:left="0" w:right="0" w:firstLine="54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fill="FFFFFF" w:val="clear"/>
        <w:spacing w:before="280" w:after="280"/>
        <w:ind w:left="0" w:right="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 </w:t>
      </w:r>
    </w:p>
    <w:p>
      <w:pPr>
        <w:pStyle w:val="Normal"/>
        <w:spacing w:lineRule="auto" w:line="240"/>
        <w:ind w:left="10" w:right="0" w:firstLine="53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перспективе решение вышеуказанных задач предполагает возможность получения высоких размеров пенсий при выходе на пенсию, повышение доли сбережений в экономике и экономический рост за счет инвестиций пенсионных активов, выпуска среднесрочных и долгосрочных государственных ценных бумаг. Обладая рыночными свойствами капитала, накопление пенсионных средств послужит толчком к развитию финансового рынка, будет способствовать росту долгосрочных инвестиций и стимулировать создание финансовых учреждений, которые необходимы для экономического развития страны.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- повышение уровня негосударственного пенсионного обеспечения в Кыргызстане;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- достижение приемлемого уровня пенсий для участников за счет участия в корпоративных, профессиональных и частных пенсионных системах;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  <w:t xml:space="preserve">- расширение состава финансовых институтов, допускаемых к участию в формировании пенсионных накоплений. </w:t>
      </w:r>
    </w:p>
    <w:p>
      <w:pPr>
        <w:pStyle w:val="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5. Лотерейная деятельность</w:t>
      </w:r>
    </w:p>
    <w:p>
      <w:pPr>
        <w:pStyle w:val="Normal"/>
        <w:widowControl w:val="false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widowControl w:val="false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Цели и задачи</w:t>
      </w:r>
    </w:p>
    <w:p>
      <w:pPr>
        <w:pStyle w:val="Normal"/>
        <w:widowControl w:val="false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Основной целью в области регулирования и развития лотерейной деятельности является создание основы для здорового развития лотерейной деятельности и повышения общественного благосостояния путем прозрачного использования доходов от лотерейной деятельности.</w:t>
      </w:r>
    </w:p>
    <w:p>
      <w:pPr>
        <w:pStyle w:val="Normal"/>
        <w:widowControl w:val="false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Основными задачами являются:</w:t>
      </w:r>
    </w:p>
    <w:p>
      <w:pPr>
        <w:pStyle w:val="Normal"/>
        <w:widowControl w:val="false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обеспечение защиты прав и законных интересов участников лотереи;</w:t>
      </w:r>
    </w:p>
    <w:p>
      <w:pPr>
        <w:pStyle w:val="Normal"/>
        <w:widowControl w:val="false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обеспечение равенства условий участия в лотерее, предполагающего равенство шансов участников лотереи на выигрыш;</w:t>
      </w:r>
    </w:p>
    <w:p>
      <w:pPr>
        <w:pStyle w:val="Normal"/>
        <w:widowControl w:val="false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обеспечение гласности, предполагающей обязательную публикацию условий проведения соответствующей лотереи и результатов розыгрышей призового фонда тиражных лотерей;</w:t>
      </w:r>
    </w:p>
    <w:p>
      <w:pPr>
        <w:pStyle w:val="Normal"/>
        <w:widowControl w:val="false"/>
        <w:spacing w:lineRule="auto" w:line="240"/>
        <w:ind w:left="0" w:righ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обеспечение законности осуществления своей деятельности организатором лотереи.</w:t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ind w:left="0" w:righ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Ожидаемые результаты 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Путем решения поставленных целей, государство получит дополнительные средства в виде отчислений от чистой прибыли (50 %) предприятия.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развития спорта, культуры, образования, науки, искусства, а также для оказания финансовой поддержки в реализации комплексных социальных мероприятий в области защиты детей, молодежи, пожилых граждан, лиц с ограниченными возможностями здоровья и малообеспеченных семей ежегодно в соответствии с Законом Кыргызской Республики «О лотереях» в Фонд целевых отчислений будут поступать денежные средства (минимально 10 % от выручки, за вычетом призового фонда). За счет поступлений государство сможет построить - стадионы, спортивные залы, сооружения, отремонтировать объекты культурного наследия, создать новые лаборатории, научные комплексы, профинансировать съемку фильмов, а также решить социальные проблемы, касающихся людей с ограниченными возможностями здоровья, престарелых и детских домов, и жилищные проблемы малообеспеченных семей.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tabs>
          <w:tab w:val="left" w:pos="1170" w:leader="none"/>
        </w:tabs>
        <w:spacing w:lineRule="auto" w:line="24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Раздел </w:t>
      </w:r>
      <w:r>
        <w:rPr>
          <w:rFonts w:ascii="Times New Roman" w:hAnsi="Times New Roman"/>
          <w:b/>
          <w:szCs w:val="28"/>
          <w:lang w:val="en-US"/>
        </w:rPr>
        <w:t>III</w:t>
      </w:r>
      <w:r>
        <w:rPr>
          <w:rFonts w:ascii="Times New Roman" w:hAnsi="Times New Roman"/>
          <w:b/>
          <w:szCs w:val="28"/>
        </w:rPr>
        <w:t>. Возможные риски и угрозы при реализации настоящей Стратегии и меры по их предупреждению</w:t>
      </w:r>
    </w:p>
    <w:p>
      <w:pPr>
        <w:pStyle w:val="Normal"/>
        <w:spacing w:lineRule="auto" w:line="240"/>
        <w:ind w:left="0" w:right="0" w:firstLine="56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Помимо природных и техногенных катаклизмов на развитие финансового рынка оказывают влияние политическая и экономическая стабильность в стране (политические и экономические риски). Состояние развития финансового рынка, в первую очередь, зависит от экономической политики государства, способности адекватно реагировать на мировые экономические процессы и принимать опережающие стратегические решения.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Политические риски:</w:t>
      </w:r>
      <w:r>
        <w:rPr>
          <w:rFonts w:ascii="Times New Roman" w:hAnsi="Times New Roman"/>
          <w:szCs w:val="28"/>
        </w:rPr>
        <w:t xml:space="preserve"> неблагоприятные изменения в политическом строе и жизни государства, политическая нестабильность в стране, снижение рейтинга и инвестиционной привлекательности страны, изменения политики государства при принятии управленческих решений по стратегическим направлениям развития страны; ухудшение уровня жизни, подрыв доверия и рост недоверия населения к институтам финансового рынка; снижение деловой активности населения.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Угрозы: нестабильные условия для развития финансового рынка, периодичные изменения условий правил игры, снижение уровня гарантий со стороны государства по обязательствам, недоверие международных институтов и отток иностранного капитала, частые изменения политики приоритетов стратегического развития страны и финансового рынка, снижение деловой активности всех участников финансового рынка и т.д.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Профилактические меры: обеспечение политической стабильности и преемственности проводимой экономической политики, в том числе регулирования финансового рынка в стране, принятие совместных мер нормативно-законодательного, организационного, экономического, политического, социально-психологического характера, направленных на создание устойчивой системы функционирования финансового рынка республики.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Практические действия: реализация Программы развития Кыргызской Республики на период 2018-2022 гг. «Единство, доверие, созидание».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Экономические риски: </w:t>
      </w:r>
      <w:r>
        <w:rPr>
          <w:rFonts w:ascii="Times New Roman" w:hAnsi="Times New Roman"/>
          <w:szCs w:val="28"/>
        </w:rPr>
        <w:t>влияние и распространение мировых финансовых кризисов на экономику страны; снижение темпов производства и роста капитализации, ухудшение возможностей участников небанковского финансового рынка по привлечению и использованию внутренних и внешних ресурсов.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Угрозы: замедление темпов экономического роста, ухудшение макроэкономической ситуации, повышение темпов инфляции, снижение доходов населения, крах финансового рынка, снижение доходности, убыточность.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Профилактические меры: принятие и реализация опережающих перспективных планов экономического роста по улучшению состояния экономики страны в целом и финансового рынка, эффективное государственное управление и реализация задач на всех уровнях; государственная поддержка реального сектора экономики, создание благоприятных условий для бизнеса, возможностей для использования внутренних ресурсов и привлечению инвестиций через механизм фондового рынка, обеспечение прозрачности и создание условий для активизации деятельности участников небанковского финансового рынка; анализ тенденций развития финансового рынка на основе реальной оценки текущего состояния экономики и степени его дальнейшего влияния на экономические процессы страны в будущем, принятие соответствующих мер для снижения рисков и предотвращения угроз на финансовом рынке.</w:t>
      </w:r>
    </w:p>
    <w:p>
      <w:pPr>
        <w:pStyle w:val="Normal"/>
        <w:spacing w:lineRule="auto" w:line="240"/>
        <w:ind w:left="0" w:right="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Практические действия: реализация в полной мере намеченных планов – принятие комплексных экстренных решений по стабилизации ситуации; принятие предупреждающих законодательных актов по обеспечению защиты и надежности финансового рынка, своевременное предоставление достоверной информ</w:t>
      </w:r>
      <w:bookmarkStart w:id="11" w:name="_GoBack"/>
      <w:bookmarkEnd w:id="11"/>
      <w:r>
        <w:rPr>
          <w:rFonts w:ascii="Times New Roman" w:hAnsi="Times New Roman"/>
          <w:szCs w:val="28"/>
        </w:rPr>
        <w:t>ации.</w:t>
      </w:r>
    </w:p>
    <w:sectPr>
      <w:headerReference w:type="default" r:id="rId8"/>
      <w:footerReference w:type="default" r:id="rId9"/>
      <w:type w:val="nextPage"/>
      <w:pgSz w:w="11906" w:h="16838"/>
      <w:pgMar w:left="1701" w:right="1134" w:header="709" w:top="1134" w:footer="709" w:bottom="1134" w:gutter="0"/>
      <w:pgNumType w:start="1"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27</w:t>
    </w:r>
    <w:r>
      <w:fldChar w:fldCharType="end"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2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564d8"/>
    <w:pPr>
      <w:widowControl/>
      <w:suppressAutoHyphens w:val="true"/>
      <w:bidi w:val="0"/>
      <w:spacing w:lineRule="atLeast" w:line="360" w:before="0" w:after="0"/>
      <w:jc w:val="both"/>
    </w:pPr>
    <w:rPr>
      <w:rFonts w:ascii="Times New Roman CYR" w:hAnsi="Times New Roman CYR" w:eastAsia="Times New Roman" w:cs="Times New Roman"/>
      <w:color w:val="auto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Абзац списка Знак"/>
    <w:uiPriority w:val="34"/>
    <w:link w:val="a3"/>
    <w:locked/>
    <w:rsid w:val="00be5a52"/>
    <w:basedOn w:val="DefaultParagraphFont"/>
    <w:rPr>
      <w:rFonts w:ascii="Arial" w:hAnsi="Arial" w:cs=""/>
      <w:sz w:val="24"/>
      <w:lang w:val="en-GB" w:eastAsia="ru-RU"/>
    </w:rPr>
  </w:style>
  <w:style w:type="character" w:styleId="Style15" w:customStyle="1">
    <w:name w:val="Текст выноски Знак"/>
    <w:uiPriority w:val="99"/>
    <w:semiHidden/>
    <w:link w:val="a7"/>
    <w:rsid w:val="00f2199b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Основной текст_"/>
    <w:link w:val="2"/>
    <w:locked/>
    <w:rsid w:val="00f77fc2"/>
    <w:basedOn w:val="DefaultParagraphFont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7">
    <w:name w:val="Интернет-ссылка"/>
    <w:uiPriority w:val="99"/>
    <w:semiHidden/>
    <w:unhideWhenUsed/>
    <w:rsid w:val="005d715d"/>
    <w:basedOn w:val="DefaultParagraphFont"/>
    <w:rPr>
      <w:color w:val="0000FF"/>
      <w:u w:val="single"/>
      <w:lang w:val="zxx" w:eastAsia="zxx" w:bidi="zxx"/>
    </w:rPr>
  </w:style>
  <w:style w:type="character" w:styleId="W" w:customStyle="1">
    <w:name w:val="w"/>
    <w:rsid w:val="000106fd"/>
    <w:basedOn w:val="DefaultParagraphFont"/>
    <w:rPr/>
  </w:style>
  <w:style w:type="character" w:styleId="Linenumber">
    <w:name w:val="line number"/>
    <w:uiPriority w:val="99"/>
    <w:semiHidden/>
    <w:unhideWhenUsed/>
    <w:rsid w:val="008921e4"/>
    <w:basedOn w:val="DefaultParagraphFont"/>
    <w:rPr/>
  </w:style>
  <w:style w:type="character" w:styleId="Style18" w:customStyle="1">
    <w:name w:val="Верхний колонтитул Знак"/>
    <w:uiPriority w:val="99"/>
    <w:link w:val="ad"/>
    <w:rsid w:val="008921e4"/>
    <w:basedOn w:val="DefaultParagraphFont"/>
    <w:rPr>
      <w:rFonts w:ascii="Times New Roman CYR" w:hAnsi="Times New Roman CYR" w:eastAsia="Times New Roman" w:cs="Times New Roman"/>
      <w:sz w:val="28"/>
      <w:szCs w:val="20"/>
      <w:lang w:eastAsia="ru-RU"/>
    </w:rPr>
  </w:style>
  <w:style w:type="character" w:styleId="Style19" w:customStyle="1">
    <w:name w:val="Нижний колонтитул Знак"/>
    <w:uiPriority w:val="99"/>
    <w:link w:val="af"/>
    <w:rsid w:val="008921e4"/>
    <w:basedOn w:val="DefaultParagraphFont"/>
    <w:rPr>
      <w:rFonts w:ascii="Times New Roman CYR" w:hAnsi="Times New Roman CYR" w:eastAsia="Times New Roman" w:cs="Times New Roman"/>
      <w:sz w:val="28"/>
      <w:szCs w:val="20"/>
      <w:lang w:eastAsia="ru-RU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Times New Roman CYR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sz w:val="24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link w:val="a4"/>
    <w:rsid w:val="00be5a52"/>
    <w:basedOn w:val="Normal"/>
    <w:pPr>
      <w:spacing w:lineRule="auto" w:line="240" w:before="0" w:after="0"/>
      <w:ind w:left="720" w:right="0" w:hanging="0"/>
      <w:contextualSpacing/>
      <w:jc w:val="left"/>
    </w:pPr>
    <w:rPr>
      <w:rFonts w:ascii="Arial" w:hAnsi="Arial" w:cs=""/>
      <w:sz w:val="24"/>
      <w:szCs w:val="22"/>
      <w:lang w:val="en-GB"/>
    </w:rPr>
  </w:style>
  <w:style w:type="paragraph" w:styleId="ConsNormal" w:customStyle="1">
    <w:name w:val="ConsNormal"/>
    <w:rsid w:val="00471bd8"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Times New Roman"/>
      <w:color w:val="auto"/>
      <w:sz w:val="20"/>
      <w:szCs w:val="20"/>
      <w:lang w:eastAsia="ru-RU" w:val="ru-RU" w:bidi="ar-SA"/>
    </w:rPr>
  </w:style>
  <w:style w:type="paragraph" w:styleId="Paragraph" w:customStyle="1">
    <w:name w:val="Paragraph"/>
    <w:uiPriority w:val="99"/>
    <w:rsid w:val="003b055e"/>
    <w:basedOn w:val="Normal"/>
    <w:autoRedefine/>
    <w:pPr>
      <w:shd w:fill="FFFFFF" w:val="clear"/>
      <w:spacing w:lineRule="auto" w:line="240"/>
      <w:ind w:left="0" w:right="0" w:firstLine="567"/>
    </w:pPr>
    <w:rPr>
      <w:rFonts w:ascii="Times New Roman" w:hAnsi="Times New Roman" w:eastAsia="Calibri"/>
      <w:sz w:val="24"/>
      <w:szCs w:val="24"/>
      <w:lang w:eastAsia="en-US"/>
    </w:rPr>
  </w:style>
  <w:style w:type="paragraph" w:styleId="NormalWeb">
    <w:name w:val="Normal (Web)"/>
    <w:uiPriority w:val="99"/>
    <w:unhideWhenUsed/>
    <w:rsid w:val="003b055e"/>
    <w:basedOn w:val="Normal"/>
    <w:pPr>
      <w:spacing w:before="0" w:after="280"/>
      <w:jc w:val="left"/>
    </w:pPr>
    <w:rPr>
      <w:rFonts w:ascii="Times New Roman" w:hAnsi="Times New Roman"/>
      <w:sz w:val="24"/>
      <w:szCs w:val="24"/>
    </w:rPr>
  </w:style>
  <w:style w:type="paragraph" w:styleId="TkZagolovok5" w:customStyle="1">
    <w:name w:val="_Заголовок Статья (tkZagolovok5)"/>
    <w:rsid w:val="003b055e"/>
    <w:basedOn w:val="Normal"/>
    <w:pPr>
      <w:spacing w:lineRule="auto" w:line="276" w:before="200" w:after="60"/>
      <w:ind w:left="0" w:right="0" w:firstLine="567"/>
      <w:jc w:val="left"/>
    </w:pPr>
    <w:rPr>
      <w:rFonts w:ascii="Arial" w:hAnsi="Arial" w:cs="Arial"/>
      <w:b/>
      <w:bCs/>
      <w:sz w:val="20"/>
    </w:rPr>
  </w:style>
  <w:style w:type="paragraph" w:styleId="BalloonText">
    <w:name w:val="Balloon Text"/>
    <w:uiPriority w:val="99"/>
    <w:semiHidden/>
    <w:unhideWhenUsed/>
    <w:link w:val="a8"/>
    <w:rsid w:val="00f2199b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rsid w:val="00604977"/>
    <w:pPr>
      <w:widowControl/>
      <w:pBdr>
        <w:top w:val="nil"/>
        <w:left w:val="nil"/>
        <w:bottom w:val="nil"/>
        <w:right w:val="nil"/>
      </w:pBdr>
      <w:suppressAutoHyphens w:val="true"/>
      <w:bidi w:val="0"/>
      <w:spacing w:lineRule="auto" w:line="240" w:before="0" w:after="0"/>
      <w:jc w:val="both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eastAsia="ru-RU" w:val="ru-RU" w:bidi="ar-SA"/>
    </w:rPr>
  </w:style>
  <w:style w:type="paragraph" w:styleId="TkTekst" w:customStyle="1">
    <w:name w:val="_Текст обычный (tkTekst)"/>
    <w:rsid w:val="001f3b23"/>
    <w:basedOn w:val="Normal"/>
    <w:pPr>
      <w:spacing w:lineRule="auto" w:line="276" w:before="0" w:after="60"/>
      <w:ind w:left="0" w:right="0" w:firstLine="567"/>
    </w:pPr>
    <w:rPr>
      <w:rFonts w:ascii="Arial" w:hAnsi="Arial" w:cs="Arial"/>
      <w:sz w:val="20"/>
    </w:rPr>
  </w:style>
  <w:style w:type="paragraph" w:styleId="2" w:customStyle="1">
    <w:name w:val="Основной текст2"/>
    <w:link w:val="a9"/>
    <w:rsid w:val="00f77fc2"/>
    <w:basedOn w:val="Normal"/>
    <w:pPr>
      <w:widowControl w:val="false"/>
      <w:shd w:fill="FFFFFF" w:val="clear"/>
      <w:spacing w:lineRule="exact" w:line="274" w:before="240" w:after="240"/>
    </w:pPr>
    <w:rPr>
      <w:rFonts w:ascii="Times New Roman" w:hAnsi="Times New Roman"/>
      <w:sz w:val="23"/>
      <w:szCs w:val="23"/>
      <w:lang w:eastAsia="en-US"/>
    </w:rPr>
  </w:style>
  <w:style w:type="paragraph" w:styleId="TkNazvanie" w:customStyle="1">
    <w:name w:val="_Название (tkNazvanie)"/>
    <w:rsid w:val="00f77fc2"/>
    <w:basedOn w:val="Normal"/>
    <w:pPr>
      <w:spacing w:lineRule="auto" w:line="276" w:before="400" w:after="400"/>
      <w:ind w:left="1134" w:right="1134" w:hanging="0"/>
      <w:jc w:val="center"/>
    </w:pPr>
    <w:rPr>
      <w:rFonts w:ascii="Arial" w:hAnsi="Arial" w:cs="Arial"/>
      <w:b/>
      <w:bCs/>
      <w:sz w:val="24"/>
      <w:szCs w:val="24"/>
    </w:rPr>
  </w:style>
  <w:style w:type="paragraph" w:styleId="TkRekvizit" w:customStyle="1">
    <w:name w:val="_Реквизит (tkRekvizit)"/>
    <w:rsid w:val="00f77fc2"/>
    <w:basedOn w:val="Normal"/>
    <w:pPr>
      <w:spacing w:lineRule="auto" w:line="276" w:before="200" w:after="200"/>
      <w:jc w:val="center"/>
    </w:pPr>
    <w:rPr>
      <w:rFonts w:ascii="Arial" w:hAnsi="Arial" w:cs="Arial"/>
      <w:i/>
      <w:iCs/>
      <w:sz w:val="20"/>
    </w:rPr>
  </w:style>
  <w:style w:type="paragraph" w:styleId="TkForma" w:customStyle="1">
    <w:name w:val="_Форма (tkForma)"/>
    <w:rsid w:val="00f77fc2"/>
    <w:basedOn w:val="Normal"/>
    <w:pPr>
      <w:spacing w:lineRule="auto" w:line="276" w:before="0" w:after="200"/>
      <w:ind w:left="1134" w:right="1134" w:hanging="0"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Caption">
    <w:name w:val="caption"/>
    <w:uiPriority w:val="35"/>
    <w:qFormat/>
    <w:unhideWhenUsed/>
    <w:rsid w:val="00a54362"/>
    <w:basedOn w:val="Normal"/>
    <w:pPr>
      <w:spacing w:lineRule="auto" w:line="240" w:before="0" w:after="200"/>
    </w:pPr>
    <w:rPr>
      <w:b/>
      <w:bCs/>
      <w:color w:val="4F81BD"/>
      <w:sz w:val="18"/>
      <w:szCs w:val="18"/>
    </w:rPr>
  </w:style>
  <w:style w:type="paragraph" w:styleId="Style25">
    <w:name w:val="Верхний колонтитул"/>
    <w:uiPriority w:val="99"/>
    <w:unhideWhenUsed/>
    <w:link w:val="ae"/>
    <w:rsid w:val="008921e4"/>
    <w:basedOn w:val="Normal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6">
    <w:name w:val="Нижний колонтитул"/>
    <w:uiPriority w:val="99"/>
    <w:unhideWhenUsed/>
    <w:link w:val="af0"/>
    <w:rsid w:val="008921e4"/>
    <w:basedOn w:val="Normal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869F5D86A0724688A234C6CC24B6A76E" w:customStyle="1">
    <w:name w:val="869F5D86A0724688A234C6CC24B6A76E"/>
    <w:rsid w:val="008921e4"/>
    <w:pPr>
      <w:widowControl/>
      <w:suppressAutoHyphens w:val="true"/>
      <w:bidi w:val="0"/>
      <w:spacing w:lineRule="auto" w:line="276" w:before="0" w:after="200"/>
      <w:jc w:val="left"/>
    </w:pPr>
    <w:rPr>
      <w:rFonts w:cs="" w:ascii="Calibri" w:hAnsi="Calibri" w:eastAsia="Droid Sans Fallback"/>
      <w:color w:val="auto"/>
      <w:sz w:val="22"/>
      <w:szCs w:val="22"/>
      <w:lang w:eastAsia="ru-RU" w:val="ru-RU" w:bidi="ar-SA"/>
    </w:rPr>
  </w:style>
  <w:style w:type="paragraph" w:styleId="Style27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d56b8"/>
    <w:pPr>
      <w:spacing w:after="0" w:lineRule="auto" w:line="240"/>
    </w:pPr>
    <w:rPr>
      <w:rFonts w:eastAsiaTheme="minorEastAsia"/>
      <w:lang w:eastAsia="ru-RU"/>
    </w:rPr>
    <w:tblPr>
      <w:tblInd w:type="dxa" w:w="0"/>
      <w:tblBorders>
        <w:top w:sz="4" w:space="0" w:themeColor="text1" w:color="000000" w:val="single"/>
        <w:left w:sz="4" w:space="0" w:themeColor="text1" w:color="000000" w:val="single"/>
        <w:bottom w:sz="4" w:space="0" w:themeColor="text1" w:color="000000" w:val="single"/>
        <w:right w:sz="4" w:space="0" w:themeColor="text1" w:color="000000" w:val="single"/>
        <w:insideH w:sz="4" w:space="0" w:themeColor="text1" w:color="000000" w:val="single"/>
        <w:insideV w:sz="4" w:space="0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b="1" lang="ru-RU" sz="1440">
                <a:solidFill>
                  <a:srgbClr val="595959"/>
                </a:solidFill>
                <a:latin typeface="Times New Roman"/>
              </a:rPr>
              <a:t>Объем торгов и количество сделок
 на рынке ценных бумаг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объем торгов  (млн сом)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8874</c:v>
                </c:pt>
                <c:pt idx="1">
                  <c:v>18152</c:v>
                </c:pt>
                <c:pt idx="2">
                  <c:v>7858</c:v>
                </c:pt>
                <c:pt idx="3">
                  <c:v>283052</c:v>
                </c:pt>
              </c:numCache>
            </c:numRef>
          </c:val>
        </c:ser>
        <c:gapWidth val="219"/>
        <c:axId val="35187579"/>
        <c:axId val="6262202"/>
      </c:barChart>
      <c:lineChart>
        <c:grouping val="standard"/>
        <c:ser>
          <c:idx val="0"/>
          <c:order val="0"/>
          <c:tx>
            <c:strRef>
              <c:f>label 1</c:f>
              <c:strCache>
                <c:ptCount val="1"/>
                <c:pt idx="0">
                  <c:v>количество сделок </c:v>
                </c:pt>
              </c:strCache>
            </c:strRef>
          </c:tx>
          <c:spPr>
            <a:solidFill>
              <a:srgbClr val="c0504d"/>
            </a:solidFill>
            <a:ln w="28440">
              <a:solidFill>
                <a:srgbClr val="c0504d"/>
              </a:solidFill>
              <a:round/>
            </a:ln>
          </c:spPr>
          <c:marker>
            <c:size val="7"/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3722</c:v>
                </c:pt>
                <c:pt idx="1">
                  <c:v>3903</c:v>
                </c:pt>
                <c:pt idx="2">
                  <c:v>3137</c:v>
                </c:pt>
                <c:pt idx="3">
                  <c:v>4710</c:v>
                </c:pt>
              </c:numCache>
            </c:numRef>
          </c:val>
        </c:ser>
        <c:marker val="1"/>
        <c:axId val="12163636"/>
        <c:axId val="30249879"/>
      </c:lineChart>
      <c:catAx>
        <c:axId val="3518757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6262202"/>
        <c:crossesAt val="0"/>
        <c:auto val="1"/>
        <c:lblAlgn val="ctr"/>
        <c:lblOffset val="100"/>
      </c:catAx>
      <c:valAx>
        <c:axId val="626220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nextTo"/>
        <c:spPr>
          <a:ln w="9360">
            <a:noFill/>
          </a:ln>
        </c:spPr>
        <c:crossAx val="35187579"/>
        <c:crossesAt val="0"/>
      </c:valAx>
      <c:catAx>
        <c:axId val="121636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crossAx val="30249879"/>
        <c:crossesAt val="0"/>
        <c:auto val="1"/>
        <c:lblAlgn val="ctr"/>
        <c:lblOffset val="100"/>
      </c:catAx>
      <c:valAx>
        <c:axId val="30249879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 w="9360">
            <a:noFill/>
          </a:ln>
        </c:spPr>
        <c:crossAx val="12163636"/>
        <c:crosses val="max"/>
      </c:valAx>
      <c:spPr>
        <a:noFill/>
        <a:ln>
          <a:noFill/>
        </a:ln>
      </c:spPr>
    </c:plotArea>
    <c:legend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b="1" lang="ru-RU" sz="1400">
                <a:solidFill>
                  <a:srgbClr val="595959"/>
                </a:solidFill>
                <a:latin typeface="Times New Roman"/>
              </a:rPr>
              <a:t>Объем и количество сделок с корпоративными облигациями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объем облигаций млн сом </c:v>
                </c:pt>
              </c:strCache>
            </c:strRef>
          </c:tx>
          <c:spPr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270.9</c:v>
                </c:pt>
                <c:pt idx="1">
                  <c:v>387.7</c:v>
                </c:pt>
                <c:pt idx="2">
                  <c:v>636.6</c:v>
                </c:pt>
                <c:pt idx="3">
                  <c:v>421.5</c:v>
                </c:pt>
              </c:numCache>
            </c:numRef>
          </c:val>
        </c:ser>
        <c:gapWidth val="219"/>
        <c:axId val="73026938"/>
        <c:axId val="11287661"/>
      </c:barChart>
      <c:lineChart>
        <c:grouping val="standard"/>
        <c:ser>
          <c:idx val="0"/>
          <c:order val="0"/>
          <c:tx>
            <c:strRef>
              <c:f>label 1</c:f>
              <c:strCache>
                <c:ptCount val="1"/>
                <c:pt idx="0">
                  <c:v>количество сделок с облигациями</c:v>
                </c:pt>
              </c:strCache>
            </c:strRef>
          </c:tx>
          <c:spPr>
            <a:solidFill>
              <a:srgbClr val="c0504d"/>
            </a:solidFill>
            <a:ln w="34920">
              <a:solidFill>
                <a:srgbClr val="c0504d"/>
              </a:solidFill>
              <a:round/>
            </a:ln>
          </c:spPr>
          <c:marker>
            <c:symbol val="none"/>
          </c:marker>
          <c:dLbls>
            <c:dLbl>
              <c:idx val="0"/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dLblPos/>
              <c:showLegendKey val="0"/>
              <c:showVal val="1"/>
              <c:showCatName val="0"/>
              <c:showSerName val="0"/>
              <c:showPercent val="0"/>
              <c:separator>; </c:separator>
            </c:dLbl>
            <c:showLegendKey val="0"/>
            <c:showVal val="1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484</c:v>
                </c:pt>
                <c:pt idx="1">
                  <c:v>538</c:v>
                </c:pt>
                <c:pt idx="2">
                  <c:v>607</c:v>
                </c:pt>
                <c:pt idx="3">
                  <c:v>741</c:v>
                </c:pt>
              </c:numCache>
            </c:numRef>
          </c:val>
        </c:ser>
        <c:marker val="0"/>
        <c:axId val="68488429"/>
        <c:axId val="66896075"/>
      </c:lineChart>
      <c:catAx>
        <c:axId val="7302693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12600">
            <a:solidFill>
              <a:srgbClr val="d9d9d9"/>
            </a:solidFill>
            <a:round/>
          </a:ln>
        </c:spPr>
        <c:crossAx val="11287661"/>
        <c:crossesAt val="0"/>
        <c:auto val="1"/>
        <c:lblAlgn val="ctr"/>
        <c:lblOffset val="100"/>
      </c:catAx>
      <c:valAx>
        <c:axId val="11287661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nextTo"/>
        <c:spPr>
          <a:ln w="9360">
            <a:noFill/>
          </a:ln>
        </c:spPr>
        <c:crossAx val="73026938"/>
        <c:crossesAt val="0"/>
      </c:valAx>
      <c:catAx>
        <c:axId val="6848842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12600">
            <a:solidFill>
              <a:srgbClr val="d9d9d9"/>
            </a:solidFill>
            <a:round/>
          </a:ln>
        </c:spPr>
        <c:crossAx val="66896075"/>
        <c:crossesAt val="0"/>
        <c:auto val="1"/>
        <c:lblAlgn val="ctr"/>
        <c:lblOffset val="100"/>
      </c:catAx>
      <c:valAx>
        <c:axId val="66896075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ln w="9360">
            <a:noFill/>
          </a:ln>
        </c:spPr>
        <c:crossAx val="68488429"/>
        <c:crosses val="max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b="1" lang="ru-RU" sz="1200">
                <a:solidFill>
                  <a:srgbClr val="000000"/>
                </a:solidFill>
                <a:latin typeface="Times New Roman"/>
              </a:rPr>
              <a:t>220 ломбардов осуществляют деятельность на основе лицензии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220 ломбардов осуществляют деятельность на основе лицензии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672a8"/>
              </a:solidFill>
              <a:ln>
                <a:noFill/>
              </a:ln>
            </c:spPr>
          </c:dPt>
          <c:dPt>
            <c:idx val="1"/>
            <c:spPr>
              <a:solidFill>
                <a:srgbClr val="ab4744"/>
              </a:solidFill>
              <a:ln>
                <a:noFill/>
              </a:ln>
            </c:spPr>
          </c:dPt>
          <c:dPt>
            <c:idx val="2"/>
            <c:spPr>
              <a:solidFill>
                <a:srgbClr val="8aa64f"/>
              </a:solidFill>
              <a:ln>
                <a:noFill/>
              </a:ln>
            </c:spPr>
          </c:dPt>
          <c:dPt>
            <c:idx val="3"/>
            <c:spPr>
              <a:solidFill>
                <a:srgbClr val="725990"/>
              </a:solidFill>
              <a:ln>
                <a:noFill/>
              </a:ln>
            </c:spPr>
          </c:dPt>
          <c:dPt>
            <c:idx val="4"/>
            <c:spPr>
              <a:solidFill>
                <a:srgbClr val="4299b0"/>
              </a:solidFill>
              <a:ln>
                <a:noFill/>
              </a:ln>
            </c:spPr>
          </c:dPt>
          <c:dPt>
            <c:idx val="5"/>
            <c:spPr>
              <a:solidFill>
                <a:srgbClr val="dc853e"/>
              </a:solidFill>
              <a:ln>
                <a:noFill/>
              </a:ln>
            </c:spPr>
          </c:dPt>
          <c:dPt>
            <c:idx val="6"/>
            <c:spPr>
              <a:solidFill>
                <a:srgbClr val="93a9ce"/>
              </a:solidFill>
              <a:ln>
                <a:noFill/>
              </a:ln>
            </c:spPr>
          </c:dPt>
          <c:dPt>
            <c:idx val="7"/>
            <c:spPr>
              <a:solidFill>
                <a:srgbClr val="d09493"/>
              </a:solidFill>
              <a:ln>
                <a:noFill/>
              </a:ln>
            </c:spPr>
          </c:dPt>
          <c:dLbls>
            <c:dLbl>
              <c:idx val="0"/>
              <c:dLblPos val="outEnd"/>
              <c:showLegendKey val="1"/>
              <c:showVal val="1"/>
              <c:showCatName val="1"/>
              <c:showSerName val="0"/>
              <c:showPercent val="0"/>
              <c:separator> </c:separator>
            </c:dLbl>
            <c:dLbl>
              <c:idx val="1"/>
              <c:dLblPos val="outEnd"/>
              <c:showLegendKey val="1"/>
              <c:showVal val="1"/>
              <c:showCatName val="1"/>
              <c:showSerName val="0"/>
              <c:showPercent val="0"/>
              <c:separator> </c:separator>
            </c:dLbl>
            <c:dLbl>
              <c:idx val="2"/>
              <c:dLblPos val="outEnd"/>
              <c:showLegendKey val="1"/>
              <c:showVal val="1"/>
              <c:showCatName val="1"/>
              <c:showSerName val="0"/>
              <c:showPercent val="0"/>
              <c:separator> </c:separator>
            </c:dLbl>
            <c:dLbl>
              <c:idx val="3"/>
              <c:dLblPos val="outEnd"/>
              <c:showLegendKey val="1"/>
              <c:showVal val="1"/>
              <c:showCatName val="1"/>
              <c:showSerName val="0"/>
              <c:showPercent val="0"/>
              <c:separator> </c:separator>
            </c:dLbl>
            <c:dLbl>
              <c:idx val="4"/>
              <c:dLblPos val="outEnd"/>
              <c:showLegendKey val="1"/>
              <c:showVal val="1"/>
              <c:showCatName val="1"/>
              <c:showSerName val="0"/>
              <c:showPercent val="0"/>
              <c:separator> </c:separator>
            </c:dLbl>
            <c:dLbl>
              <c:idx val="5"/>
              <c:dLblPos/>
              <c:showLegendKey val="1"/>
              <c:showVal val="1"/>
              <c:showCatName val="0"/>
              <c:showSerName val="0"/>
              <c:showPercent val="0"/>
              <c:separator> </c:separator>
            </c:dLbl>
            <c:dLbl>
              <c:idx val="6"/>
              <c:dLblPos/>
              <c:showLegendKey val="1"/>
              <c:showVal val="1"/>
              <c:showCatName val="1"/>
              <c:showSerName val="0"/>
              <c:showPercent val="0"/>
              <c:separator> </c:separator>
            </c:dLbl>
            <c:dLbl>
              <c:idx val="7"/>
              <c:dLblPos val="r"/>
              <c:showLegendKey val="1"/>
              <c:showVal val="1"/>
              <c:showCatName val="1"/>
              <c:showSerName val="0"/>
              <c:showPercent val="0"/>
              <c:separator> </c:separator>
            </c:dLbl>
            <c:showLegendKey val="1"/>
            <c:showVal val="1"/>
            <c:showCatName val="1"/>
            <c:showSerName val="0"/>
            <c:showPercent val="0"/>
          </c:dLbls>
          <c:cat>
            <c:strRef>
              <c:f>categories</c:f>
              <c:strCache>
                <c:ptCount val="8"/>
                <c:pt idx="0">
                  <c:v>г.Бишкек</c:v>
                </c:pt>
                <c:pt idx="1">
                  <c:v>Джалал Абад</c:v>
                </c:pt>
                <c:pt idx="2">
                  <c:v>Ош</c:v>
                </c:pt>
                <c:pt idx="3">
                  <c:v>Чуй</c:v>
                </c:pt>
                <c:pt idx="4">
                  <c:v>Иссык-куль</c:v>
                </c:pt>
                <c:pt idx="5">
                  <c:v>Баткен</c:v>
                </c:pt>
                <c:pt idx="6">
                  <c:v>Нарын</c:v>
                </c:pt>
                <c:pt idx="7">
                  <c:v>Талас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98</c:v>
                </c:pt>
                <c:pt idx="1">
                  <c:v>18</c:v>
                </c:pt>
                <c:pt idx="2">
                  <c:v>30</c:v>
                </c:pt>
                <c:pt idx="3">
                  <c:v>26</c:v>
                </c:pt>
                <c:pt idx="4">
                  <c:v>33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plotVisOnly val="1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otX val="30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4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00b050"/>
              </a:solidFill>
              <a:ln>
                <a:noFill/>
              </a:ln>
            </c:spPr>
          </c:dPt>
          <c:dPt>
            <c:idx val="2"/>
            <c:spPr>
              <a:solidFill>
                <a:srgbClr val="ffff00"/>
              </a:solidFill>
              <a:ln>
                <a:noFill/>
              </a:ln>
            </c:spPr>
          </c:dPt>
          <c:dPt>
            <c:idx val="3"/>
            <c:spPr>
              <a:solidFill>
                <a:srgbClr val="7030a0"/>
              </a:solidFill>
              <a:ln>
                <a:noFill/>
              </a:ln>
            </c:spPr>
          </c:dPt>
          <c:dPt>
            <c:idx val="4"/>
            <c:spPr>
              <a:solidFill>
                <a:srgbClr val="ff0000"/>
              </a:solidFill>
              <a:ln>
                <a:noFill/>
              </a:ln>
            </c:spPr>
          </c:dPt>
          <c:dLbls>
            <c:dLbl>
              <c:idx val="0"/>
              <c:dLblPos val="r"/>
              <c:showLegendKey val="0"/>
              <c:showVal val="0"/>
              <c:showCatName val="1"/>
              <c:showSerName val="0"/>
              <c:showPercent val="1"/>
              <c:separator>; </c:separator>
            </c:dLbl>
            <c:dLbl>
              <c:idx val="1"/>
              <c:dLblPos val="r"/>
              <c:showLegendKey val="0"/>
              <c:showVal val="0"/>
              <c:showCatName val="1"/>
              <c:showSerName val="0"/>
              <c:showPercent val="1"/>
              <c:separator>; </c:separator>
            </c:dLbl>
            <c:dLbl>
              <c:idx val="2"/>
              <c:dLblPos/>
              <c:showLegendKey val="0"/>
              <c:showVal val="0"/>
              <c:showCatName val="1"/>
              <c:showSerName val="0"/>
              <c:showPercent val="1"/>
              <c:separator>; </c:separator>
            </c:dLbl>
            <c:dLbl>
              <c:idx val="3"/>
              <c:dLblPos/>
              <c:showLegendKey val="0"/>
              <c:showVal val="0"/>
              <c:showCatName val="1"/>
              <c:showSerName val="0"/>
              <c:showPercent val="1"/>
              <c:separator>; </c:separator>
            </c:dLbl>
            <c:dLbl>
              <c:idx val="4"/>
              <c:dLblPos val="l"/>
              <c:showLegendKey val="0"/>
              <c:showVal val="0"/>
              <c:showCatName val="1"/>
              <c:showSerName val="0"/>
              <c:showPercent val="1"/>
              <c:separator>; </c:separator>
            </c:dLbl>
            <c:showLegendKey val="0"/>
            <c:showVal val="0"/>
            <c:showCatName val="1"/>
            <c:showSerName val="0"/>
            <c:showPercent val="1"/>
          </c:dLbls>
          <c:cat>
            <c:strRef>
              <c:f>categories</c:f>
              <c:strCache>
                <c:ptCount val="5"/>
                <c:pt idx="0">
                  <c:v>Страхование жизни (накоп.)</c:v>
                </c:pt>
                <c:pt idx="1">
                  <c:v>Личное страхование</c:v>
                </c:pt>
                <c:pt idx="2">
                  <c:v>Имущественное страхование</c:v>
                </c:pt>
                <c:pt idx="3">
                  <c:v>Страхование ответственности</c:v>
                </c:pt>
                <c:pt idx="4">
                  <c:v>Обязательное страхование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</c:v>
                </c:pt>
                <c:pt idx="1">
                  <c:v>12.1698692638414</c:v>
                </c:pt>
                <c:pt idx="2">
                  <c:v>60.1825041677633</c:v>
                </c:pt>
                <c:pt idx="3">
                  <c:v>13.7931034482758</c:v>
                </c:pt>
                <c:pt idx="4">
                  <c:v>13.8545231201193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plotVisOnly val="1"/>
  </c:chart>
  <c:spPr>
    <a:noFill/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b="1" lang="ru-RU" sz="1200">
                <a:solidFill>
                  <a:srgbClr val="404040"/>
                </a:solidFill>
                <a:latin typeface="Times New Roman"/>
              </a:rPr>
              <a:t>Пенсионные активы, тыс сом 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Пенсионные активы в тыс. сом</c:v>
                </c:pt>
              </c:strCache>
            </c:strRef>
          </c:tx>
          <c:spPr>
            <a:solidFill>
              <a:srgbClr val="4f81bd"/>
            </a:solidFill>
            <a:ln w="9360">
              <a:solidFill>
                <a:srgbClr val="ffffff"/>
              </a:solidFill>
              <a:round/>
            </a:ln>
          </c:spPr>
          <c:cat>
            <c:strRef>
              <c:f>categories</c:f>
              <c:strCache>
                <c:ptCount val="5"/>
                <c:pt idx="0">
                  <c:v>на 01.01.2015 год</c:v>
                </c:pt>
                <c:pt idx="1">
                  <c:v>на 01.01.2016 год</c:v>
                </c:pt>
                <c:pt idx="2">
                  <c:v>на 01.01.2017 год</c:v>
                </c:pt>
                <c:pt idx="3">
                  <c:v>на 01.01.2018 год</c:v>
                </c:pt>
                <c:pt idx="4">
                  <c:v>на 01.01.2019 год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28715800</c:v>
                </c:pt>
                <c:pt idx="1">
                  <c:v>16308540</c:v>
                </c:pt>
                <c:pt idx="2">
                  <c:v>17921000</c:v>
                </c:pt>
                <c:pt idx="3">
                  <c:v>14770620</c:v>
                </c:pt>
                <c:pt idx="4">
                  <c:v>15419900</c:v>
                </c:pt>
              </c:numCache>
            </c:numRef>
          </c:val>
        </c:ser>
        <c:gapWidth val="65"/>
        <c:axId val="43979085"/>
        <c:axId val="67800061"/>
      </c:barChart>
      <c:catAx>
        <c:axId val="4397908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19080">
            <a:solidFill>
              <a:srgbClr val="404040"/>
            </a:solidFill>
            <a:round/>
          </a:ln>
        </c:spPr>
        <c:crossAx val="67800061"/>
        <c:crossesAt val="0"/>
        <c:auto val="1"/>
        <c:lblAlgn val="ctr"/>
        <c:lblOffset val="100"/>
      </c:catAx>
      <c:valAx>
        <c:axId val="67800061"/>
        <c:scaling>
          <c:orientation val="minMax"/>
        </c:scaling>
        <c:delete val="1"/>
        <c:axPos val="l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43979085"/>
        <c:crossesAt val="0"/>
      </c:valAx>
      <c:spPr>
        <a:noFill/>
        <a:ln>
          <a:noFill/>
        </a:ln>
      </c:spPr>
    </c:plotArea>
    <c:plotVisOnly val="1"/>
  </c:chart>
  <c:spPr>
    <a:solidFill>
      <a:srgbClr val="ffffff"/>
    </a:solidFill>
    <a:ln w="9360">
      <a:solidFill>
        <a:srgbClr val="bfbfbf"/>
      </a:solidFill>
      <a:round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b="1" lang="ru-RU" sz="1200">
                <a:solidFill>
                  <a:srgbClr val="000000"/>
                </a:solidFill>
                <a:latin typeface="Times New Roman"/>
              </a:rPr>
              <a:t>Динамика количества вкладчиков и получателей 
НПФ «Кыргызстан»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Количество вкладчиков</c:v>
                </c:pt>
              </c:strCache>
            </c:strRef>
          </c:tx>
          <c:spPr>
            <a:ln>
              <a:noFill/>
            </a:ln>
          </c:spPr>
          <c:cat>
            <c:strRef>
              <c:f>categories</c:f>
              <c:strCache>
                <c:ptCount val="5"/>
                <c:pt idx="0">
                  <c:v>на 01.01.2015г.</c:v>
                </c:pt>
                <c:pt idx="1">
                  <c:v>на 01.01.2016г.</c:v>
                </c:pt>
                <c:pt idx="2">
                  <c:v>на 01.01.2017г.</c:v>
                </c:pt>
                <c:pt idx="3">
                  <c:v>на 01.01.2018г.</c:v>
                </c:pt>
                <c:pt idx="4">
                  <c:v>на 01.01.2019г.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1340</c:v>
                </c:pt>
                <c:pt idx="1">
                  <c:v>384</c:v>
                </c:pt>
                <c:pt idx="2">
                  <c:v>108</c:v>
                </c:pt>
                <c:pt idx="3">
                  <c:v>190</c:v>
                </c:pt>
                <c:pt idx="4">
                  <c:v>165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Количество получателей</c:v>
                </c:pt>
              </c:strCache>
            </c:strRef>
          </c:tx>
          <c:spPr>
            <a:ln>
              <a:noFill/>
            </a:ln>
          </c:spPr>
          <c:cat>
            <c:strRef>
              <c:f>categories</c:f>
              <c:strCache>
                <c:ptCount val="5"/>
                <c:pt idx="0">
                  <c:v>на 01.01.2015г.</c:v>
                </c:pt>
                <c:pt idx="1">
                  <c:v>на 01.01.2016г.</c:v>
                </c:pt>
                <c:pt idx="2">
                  <c:v>на 01.01.2017г.</c:v>
                </c:pt>
                <c:pt idx="3">
                  <c:v>на 01.01.2018г.</c:v>
                </c:pt>
                <c:pt idx="4">
                  <c:v>на 01.01.2019г.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912</c:v>
                </c:pt>
                <c:pt idx="1">
                  <c:v>1561</c:v>
                </c:pt>
                <c:pt idx="2">
                  <c:v>1823</c:v>
                </c:pt>
                <c:pt idx="3">
                  <c:v>1933</c:v>
                </c:pt>
                <c:pt idx="4">
                  <c:v>1904</c:v>
                </c:pt>
              </c:numCache>
            </c:numRef>
          </c:val>
        </c:ser>
        <c:gapWidth val="100"/>
        <c:axId val="49933237"/>
        <c:axId val="79927093"/>
      </c:barChart>
      <c:catAx>
        <c:axId val="4993323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360">
            <a:solidFill>
              <a:srgbClr val="d4e3f4"/>
            </a:solidFill>
            <a:round/>
          </a:ln>
        </c:spPr>
        <c:crossAx val="79927093"/>
        <c:crossesAt val="0"/>
        <c:auto val="1"/>
        <c:lblAlgn val="ctr"/>
        <c:lblOffset val="100"/>
      </c:catAx>
      <c:valAx>
        <c:axId val="79927093"/>
        <c:scaling>
          <c:orientation val="minMax"/>
        </c:scaling>
        <c:delete val="1"/>
        <c:axPos val="l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49933237"/>
        <c:crossesAt val="0"/>
      </c:valAx>
      <c:spPr>
        <a:noFill/>
        <a:ln>
          <a:noFill/>
        </a:ln>
      </c:spPr>
    </c:plotArea>
    <c:legend>
      <c:spPr>
        <a:noFill/>
        <a:ln>
          <a:noFill/>
        </a:ln>
      </c:spPr>
    </c:legend>
    <c:plotVisOnly val="1"/>
  </c:chart>
  <c:spPr>
    <a:solidFill>
      <a:srgbClr val="ffffff"/>
    </a:solidFill>
    <a:ln w="9360">
      <a:solidFill>
        <a:srgbClr val="b0c6e1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977E3-C56E-447A-BCA9-E62AFF13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2019-08-16T09:44:00Z</dcterms:created>
  <dc:creator>Мин. Фин</dc:creator>
  <dc:language>ru-RU</dc:language>
  <cp:lastModifiedBy>Прикомандированный сотрудник3</cp:lastModifiedBy>
  <cp:lastPrinted>2019-08-16T11:32:00Z</cp:lastPrinted>
  <dcterms:modified xsi:type="dcterms:W3CDTF">2019-08-27T06:43:00Z</dcterms:modified>
  <cp:revision>72</cp:revision>
</cp:coreProperties>
</file>